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3109EC78"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EB09E1">
        <w:rPr>
          <w:rFonts w:cs="Arial"/>
          <w:sz w:val="20"/>
          <w:lang w:eastAsia="cs-CZ"/>
        </w:rPr>
        <w:t>17</w:t>
      </w:r>
      <w:r w:rsidRPr="00E25071">
        <w:rPr>
          <w:rFonts w:cs="Arial"/>
          <w:sz w:val="20"/>
          <w:lang w:eastAsia="cs-CZ"/>
        </w:rPr>
        <w:t xml:space="preserve">. </w:t>
      </w:r>
      <w:r w:rsidR="00541EA6">
        <w:rPr>
          <w:rFonts w:cs="Arial"/>
          <w:sz w:val="20"/>
          <w:lang w:eastAsia="cs-CZ"/>
        </w:rPr>
        <w:t>0</w:t>
      </w:r>
      <w:r w:rsidR="00EB09E1">
        <w:rPr>
          <w:rFonts w:cs="Arial"/>
          <w:sz w:val="20"/>
          <w:lang w:eastAsia="cs-CZ"/>
        </w:rPr>
        <w:t>7</w:t>
      </w:r>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697F6A36" w:rsidR="003E4CCB" w:rsidRDefault="003E4CCB" w:rsidP="003E4CCB">
      <w:pPr>
        <w:spacing w:line="360" w:lineRule="auto"/>
        <w:rPr>
          <w:rFonts w:cs="Arial"/>
          <w:sz w:val="20"/>
          <w:lang w:eastAsia="cs-CZ"/>
        </w:rPr>
      </w:pPr>
      <w:r w:rsidRPr="00347388">
        <w:rPr>
          <w:rFonts w:cs="Arial"/>
          <w:sz w:val="20"/>
          <w:lang w:eastAsia="cs-CZ"/>
        </w:rPr>
        <w:t xml:space="preserve">Dátum: </w:t>
      </w:r>
      <w:r w:rsidR="00EB09E1">
        <w:rPr>
          <w:rFonts w:cs="Arial"/>
          <w:sz w:val="20"/>
          <w:lang w:eastAsia="cs-CZ"/>
        </w:rPr>
        <w:t>17</w:t>
      </w:r>
      <w:r w:rsidRPr="00E25071">
        <w:rPr>
          <w:rFonts w:cs="Arial"/>
          <w:sz w:val="20"/>
          <w:lang w:eastAsia="cs-CZ"/>
        </w:rPr>
        <w:t>. </w:t>
      </w:r>
      <w:r w:rsidR="00541EA6" w:rsidRPr="00E25071">
        <w:rPr>
          <w:rFonts w:cs="Arial"/>
          <w:sz w:val="20"/>
          <w:lang w:eastAsia="cs-CZ"/>
        </w:rPr>
        <w:t>0</w:t>
      </w:r>
      <w:r w:rsidR="00EB09E1">
        <w:rPr>
          <w:rFonts w:cs="Arial"/>
          <w:sz w:val="20"/>
          <w:lang w:eastAsia="cs-CZ"/>
        </w:rPr>
        <w:t>7</w:t>
      </w:r>
      <w:r w:rsidRPr="00E25071">
        <w:rPr>
          <w:rFonts w:cs="Arial"/>
          <w:sz w:val="20"/>
          <w:lang w:eastAsia="cs-CZ"/>
        </w:rPr>
        <w:t>. 201</w:t>
      </w:r>
      <w:r w:rsidR="00E25071" w:rsidRPr="00E25071">
        <w:rPr>
          <w:rFonts w:cs="Arial"/>
          <w:sz w:val="20"/>
          <w:lang w:eastAsia="cs-CZ"/>
        </w:rPr>
        <w:t>7</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0CB1BFD0" w:rsidR="003E4CCB" w:rsidRPr="00347388" w:rsidRDefault="006B41BD" w:rsidP="00140CE3">
      <w:pPr>
        <w:tabs>
          <w:tab w:val="left" w:pos="1134"/>
        </w:tabs>
        <w:spacing w:line="360" w:lineRule="auto"/>
        <w:rPr>
          <w:rFonts w:cs="Arial"/>
          <w:sz w:val="20"/>
          <w:lang w:eastAsia="cs-CZ"/>
        </w:rPr>
      </w:pPr>
      <w:r w:rsidRPr="008F2822">
        <w:t xml:space="preserve">Dátum: </w:t>
      </w:r>
      <w:r w:rsidR="00EB09E1" w:rsidRPr="00140CE3">
        <w:t>17</w:t>
      </w:r>
      <w:r w:rsidRPr="00140CE3">
        <w:t>. 0</w:t>
      </w:r>
      <w:r w:rsidR="00EB09E1" w:rsidRPr="00EB09E1">
        <w:t>7</w:t>
      </w:r>
      <w:r>
        <w:t>. 2017</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 xml:space="preserve">Adela </w:t>
      </w:r>
      <w:proofErr w:type="spellStart"/>
      <w:r>
        <w:rPr>
          <w:rFonts w:cs="Arial"/>
          <w:sz w:val="20"/>
          <w:lang w:eastAsia="cs-CZ"/>
        </w:rPr>
        <w:t>Danišková</w:t>
      </w:r>
      <w:proofErr w:type="spellEnd"/>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13CB933"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336A1C">
        <w:rPr>
          <w:rFonts w:cs="Arial"/>
          <w:sz w:val="20"/>
          <w:lang w:eastAsia="cs-CZ"/>
        </w:rPr>
        <w:t>17</w:t>
      </w:r>
      <w:r w:rsidRPr="00E25071">
        <w:rPr>
          <w:rFonts w:cs="Arial"/>
          <w:sz w:val="20"/>
          <w:lang w:eastAsia="cs-CZ"/>
        </w:rPr>
        <w:t>. </w:t>
      </w:r>
      <w:r w:rsidR="00541EA6" w:rsidRPr="00E25071">
        <w:rPr>
          <w:rFonts w:cs="Arial"/>
          <w:sz w:val="20"/>
          <w:lang w:eastAsia="cs-CZ"/>
        </w:rPr>
        <w:t>0</w:t>
      </w:r>
      <w:r w:rsidR="00336A1C">
        <w:rPr>
          <w:rFonts w:cs="Arial"/>
          <w:sz w:val="20"/>
          <w:lang w:eastAsia="cs-CZ"/>
        </w:rPr>
        <w:t>7</w:t>
      </w:r>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061DD8E1"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r w:rsidR="00474A8C">
        <w:rPr>
          <w:rFonts w:cs="Arial"/>
          <w:sz w:val="18"/>
          <w:lang w:eastAsia="cs-CZ"/>
        </w:rPr>
        <w:t>1</w:t>
      </w:r>
      <w:r w:rsidRPr="00E25071">
        <w:rPr>
          <w:rFonts w:cs="Arial"/>
          <w:sz w:val="18"/>
          <w:lang w:eastAsia="cs-CZ"/>
        </w:rPr>
        <w:t xml:space="preserve">; platnosť od: </w:t>
      </w:r>
      <w:r w:rsidR="00336A1C">
        <w:rPr>
          <w:rFonts w:cs="Arial"/>
          <w:sz w:val="18"/>
          <w:lang w:eastAsia="cs-CZ"/>
        </w:rPr>
        <w:t>17</w:t>
      </w:r>
      <w:r w:rsidRPr="00E25071">
        <w:rPr>
          <w:rFonts w:cs="Arial"/>
          <w:sz w:val="18"/>
          <w:lang w:eastAsia="cs-CZ"/>
        </w:rPr>
        <w:t xml:space="preserve">. </w:t>
      </w:r>
      <w:r w:rsidR="00541EA6" w:rsidRPr="00E25071">
        <w:rPr>
          <w:rFonts w:cs="Arial"/>
          <w:sz w:val="18"/>
          <w:lang w:eastAsia="cs-CZ"/>
        </w:rPr>
        <w:t>0</w:t>
      </w:r>
      <w:r w:rsidR="00336A1C">
        <w:rPr>
          <w:rFonts w:cs="Arial"/>
          <w:sz w:val="18"/>
          <w:lang w:eastAsia="cs-CZ"/>
        </w:rPr>
        <w:t>7</w:t>
      </w:r>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r w:rsidR="00336A1C">
        <w:rPr>
          <w:rFonts w:cs="Arial"/>
          <w:sz w:val="18"/>
          <w:lang w:eastAsia="cs-CZ"/>
        </w:rPr>
        <w:t>17</w:t>
      </w:r>
      <w:r w:rsidRPr="00E25071">
        <w:rPr>
          <w:rFonts w:cs="Arial"/>
          <w:sz w:val="18"/>
          <w:lang w:eastAsia="cs-CZ"/>
        </w:rPr>
        <w:t xml:space="preserve">. </w:t>
      </w:r>
      <w:r w:rsidR="00541EA6" w:rsidRPr="00E25071">
        <w:rPr>
          <w:rFonts w:cs="Arial"/>
          <w:sz w:val="18"/>
          <w:lang w:eastAsia="cs-CZ"/>
        </w:rPr>
        <w:t>0</w:t>
      </w:r>
      <w:r w:rsidR="00336A1C">
        <w:rPr>
          <w:rFonts w:cs="Arial"/>
          <w:sz w:val="18"/>
          <w:lang w:eastAsia="cs-CZ"/>
        </w:rPr>
        <w:t>7</w:t>
      </w:r>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2E082D">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2E082D">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2E082D">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2E082D">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2E082D">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26</w:t>
        </w:r>
        <w:r w:rsidR="00BF74B6" w:rsidRPr="00E135DC">
          <w:rPr>
            <w:rFonts w:cs="Arial"/>
            <w:noProof/>
            <w:webHidden/>
            <w:sz w:val="19"/>
            <w:szCs w:val="19"/>
          </w:rPr>
          <w:fldChar w:fldCharType="end"/>
        </w:r>
      </w:hyperlink>
    </w:p>
    <w:p w14:paraId="12DA2A97" w14:textId="32C2D270" w:rsidR="00BF74B6" w:rsidRPr="00E135DC" w:rsidRDefault="002E082D">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28</w:t>
        </w:r>
        <w:r w:rsidR="00BF74B6" w:rsidRPr="00E135DC">
          <w:rPr>
            <w:rFonts w:cs="Arial"/>
            <w:noProof/>
            <w:webHidden/>
            <w:sz w:val="19"/>
            <w:szCs w:val="19"/>
          </w:rPr>
          <w:fldChar w:fldCharType="end"/>
        </w:r>
      </w:hyperlink>
    </w:p>
    <w:p w14:paraId="6C37EF94" w14:textId="3753DB57" w:rsidR="00BF74B6" w:rsidRPr="00E135DC" w:rsidRDefault="002E082D">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2E082D">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2E082D">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32</w:t>
        </w:r>
        <w:r w:rsidR="00BF74B6" w:rsidRPr="00E135DC">
          <w:rPr>
            <w:rFonts w:cs="Arial"/>
            <w:noProof/>
            <w:webHidden/>
            <w:sz w:val="19"/>
            <w:szCs w:val="19"/>
          </w:rPr>
          <w:fldChar w:fldCharType="end"/>
        </w:r>
      </w:hyperlink>
    </w:p>
    <w:p w14:paraId="2FCA8F9F" w14:textId="5AF2688F" w:rsidR="00BF74B6" w:rsidRPr="00E135DC" w:rsidRDefault="002E082D">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32</w:t>
        </w:r>
        <w:r w:rsidR="00BF74B6" w:rsidRPr="00E135DC">
          <w:rPr>
            <w:rFonts w:cs="Arial"/>
            <w:noProof/>
            <w:webHidden/>
            <w:sz w:val="19"/>
            <w:szCs w:val="19"/>
          </w:rPr>
          <w:fldChar w:fldCharType="end"/>
        </w:r>
      </w:hyperlink>
    </w:p>
    <w:p w14:paraId="08F482A2" w14:textId="5D3AD42A" w:rsidR="00BF74B6" w:rsidRPr="00E135DC" w:rsidRDefault="002E082D">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54</w:t>
        </w:r>
        <w:r w:rsidR="00BF74B6" w:rsidRPr="00E135DC">
          <w:rPr>
            <w:rFonts w:cs="Arial"/>
            <w:noProof/>
            <w:webHidden/>
            <w:sz w:val="19"/>
            <w:szCs w:val="19"/>
          </w:rPr>
          <w:fldChar w:fldCharType="end"/>
        </w:r>
      </w:hyperlink>
    </w:p>
    <w:p w14:paraId="27443959" w14:textId="34EA31A4" w:rsidR="00BF74B6" w:rsidRPr="00E135DC" w:rsidRDefault="002E082D">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55</w:t>
        </w:r>
        <w:r w:rsidR="00BF74B6" w:rsidRPr="00E135DC">
          <w:rPr>
            <w:rFonts w:cs="Arial"/>
            <w:noProof/>
            <w:webHidden/>
            <w:sz w:val="19"/>
            <w:szCs w:val="19"/>
          </w:rPr>
          <w:fldChar w:fldCharType="end"/>
        </w:r>
      </w:hyperlink>
    </w:p>
    <w:p w14:paraId="7F58E385" w14:textId="177F2703" w:rsidR="00BF74B6" w:rsidRPr="00E135DC" w:rsidRDefault="002E082D">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62</w:t>
        </w:r>
        <w:r w:rsidR="00BF74B6" w:rsidRPr="00E135DC">
          <w:rPr>
            <w:rFonts w:cs="Arial"/>
            <w:noProof/>
            <w:webHidden/>
            <w:sz w:val="19"/>
            <w:szCs w:val="19"/>
          </w:rPr>
          <w:fldChar w:fldCharType="end"/>
        </w:r>
      </w:hyperlink>
    </w:p>
    <w:p w14:paraId="101D5D81" w14:textId="1477AAC0" w:rsidR="00BF74B6" w:rsidRPr="00E135DC" w:rsidRDefault="002E082D">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76</w:t>
        </w:r>
        <w:r w:rsidR="00BF74B6" w:rsidRPr="00E135DC">
          <w:rPr>
            <w:rFonts w:cs="Arial"/>
            <w:noProof/>
            <w:webHidden/>
            <w:sz w:val="19"/>
            <w:szCs w:val="19"/>
          </w:rPr>
          <w:fldChar w:fldCharType="end"/>
        </w:r>
      </w:hyperlink>
    </w:p>
    <w:p w14:paraId="5198DED3" w14:textId="4DDE4FFB"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81</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7216"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81</w:t>
        </w:r>
        <w:r w:rsidR="00BF74B6" w:rsidRPr="00E135DC">
          <w:rPr>
            <w:rFonts w:cs="Arial"/>
            <w:noProof/>
            <w:webHidden/>
            <w:sz w:val="19"/>
            <w:szCs w:val="19"/>
          </w:rPr>
          <w:fldChar w:fldCharType="end"/>
        </w:r>
      </w:hyperlink>
    </w:p>
    <w:p w14:paraId="25C99981" w14:textId="52724834" w:rsidR="00BF74B6" w:rsidRPr="00E135DC" w:rsidRDefault="002E082D">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82</w:t>
        </w:r>
        <w:r w:rsidR="00BF74B6" w:rsidRPr="00E135DC">
          <w:rPr>
            <w:rFonts w:cs="Arial"/>
            <w:noProof/>
            <w:webHidden/>
            <w:sz w:val="19"/>
            <w:szCs w:val="19"/>
          </w:rPr>
          <w:fldChar w:fldCharType="end"/>
        </w:r>
      </w:hyperlink>
    </w:p>
    <w:p w14:paraId="4212AEDF" w14:textId="0548D32D" w:rsidR="00BF74B6" w:rsidRPr="00E135DC" w:rsidRDefault="002E082D">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84</w:t>
        </w:r>
        <w:r w:rsidR="00BF74B6" w:rsidRPr="00E135DC">
          <w:rPr>
            <w:rFonts w:cs="Arial"/>
            <w:noProof/>
            <w:webHidden/>
            <w:sz w:val="19"/>
            <w:szCs w:val="19"/>
          </w:rPr>
          <w:fldChar w:fldCharType="end"/>
        </w:r>
      </w:hyperlink>
    </w:p>
    <w:p w14:paraId="61CB8603" w14:textId="55DA287B" w:rsidR="00BF74B6" w:rsidRPr="00E135DC" w:rsidRDefault="002E082D">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84</w:t>
        </w:r>
        <w:r w:rsidR="00BF74B6" w:rsidRPr="00E135DC">
          <w:rPr>
            <w:rFonts w:cs="Arial"/>
            <w:noProof/>
            <w:webHidden/>
            <w:sz w:val="19"/>
            <w:szCs w:val="19"/>
          </w:rPr>
          <w:fldChar w:fldCharType="end"/>
        </w:r>
      </w:hyperlink>
    </w:p>
    <w:p w14:paraId="57E11B99" w14:textId="79A9C6C8" w:rsidR="00BF74B6" w:rsidRPr="00E135DC" w:rsidRDefault="002E082D">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84</w:t>
        </w:r>
        <w:r w:rsidR="00BF74B6" w:rsidRPr="00E135DC">
          <w:rPr>
            <w:rFonts w:cs="Arial"/>
            <w:noProof/>
            <w:webHidden/>
            <w:sz w:val="19"/>
            <w:szCs w:val="19"/>
          </w:rPr>
          <w:fldChar w:fldCharType="end"/>
        </w:r>
      </w:hyperlink>
    </w:p>
    <w:p w14:paraId="71EC95BE" w14:textId="2D4FED4C" w:rsidR="00BF74B6" w:rsidRPr="00E135DC" w:rsidRDefault="002E082D">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89</w:t>
        </w:r>
        <w:r w:rsidR="00BF74B6" w:rsidRPr="00E135DC">
          <w:rPr>
            <w:rFonts w:cs="Arial"/>
            <w:noProof/>
            <w:webHidden/>
            <w:sz w:val="19"/>
            <w:szCs w:val="19"/>
          </w:rPr>
          <w:fldChar w:fldCharType="end"/>
        </w:r>
      </w:hyperlink>
    </w:p>
    <w:p w14:paraId="1C39A013" w14:textId="6E4F44B0" w:rsidR="00BF74B6" w:rsidRPr="00E135DC" w:rsidRDefault="002E082D">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106</w:t>
        </w:r>
        <w:r w:rsidR="00BF74B6" w:rsidRPr="00E135DC">
          <w:rPr>
            <w:rFonts w:cs="Arial"/>
            <w:noProof/>
            <w:webHidden/>
            <w:sz w:val="19"/>
            <w:szCs w:val="19"/>
          </w:rPr>
          <w:fldChar w:fldCharType="end"/>
        </w:r>
      </w:hyperlink>
    </w:p>
    <w:p w14:paraId="69BEAABA" w14:textId="720B0A19" w:rsidR="00BF74B6" w:rsidRPr="00E135DC" w:rsidRDefault="002E082D">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110</w:t>
        </w:r>
        <w:r w:rsidR="00BF74B6" w:rsidRPr="00E135DC">
          <w:rPr>
            <w:rFonts w:cs="Arial"/>
            <w:noProof/>
            <w:webHidden/>
            <w:sz w:val="19"/>
            <w:szCs w:val="19"/>
          </w:rPr>
          <w:fldChar w:fldCharType="end"/>
        </w:r>
      </w:hyperlink>
    </w:p>
    <w:p w14:paraId="52A899C1" w14:textId="2C8F4C28" w:rsidR="00BF74B6" w:rsidRPr="00E135DC" w:rsidRDefault="002E082D">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116</w:t>
        </w:r>
        <w:r w:rsidR="00BF74B6" w:rsidRPr="00E135DC">
          <w:rPr>
            <w:rFonts w:cs="Arial"/>
            <w:noProof/>
            <w:webHidden/>
            <w:sz w:val="19"/>
            <w:szCs w:val="19"/>
          </w:rPr>
          <w:fldChar w:fldCharType="end"/>
        </w:r>
      </w:hyperlink>
    </w:p>
    <w:p w14:paraId="291F6871" w14:textId="106963BD" w:rsidR="00BF74B6" w:rsidRPr="00E135DC" w:rsidRDefault="002E082D">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122</w:t>
        </w:r>
        <w:r w:rsidR="00BF74B6" w:rsidRPr="00E135DC">
          <w:rPr>
            <w:rFonts w:cs="Arial"/>
            <w:noProof/>
            <w:webHidden/>
            <w:sz w:val="19"/>
            <w:szCs w:val="19"/>
          </w:rPr>
          <w:fldChar w:fldCharType="end"/>
        </w:r>
      </w:hyperlink>
    </w:p>
    <w:p w14:paraId="34F67D09" w14:textId="36240EE5"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128</w:t>
        </w:r>
        <w:r w:rsidR="00BF74B6" w:rsidRPr="00E135DC">
          <w:rPr>
            <w:rFonts w:cs="Arial"/>
            <w:noProof/>
            <w:webHidden/>
            <w:sz w:val="19"/>
            <w:szCs w:val="19"/>
          </w:rPr>
          <w:fldChar w:fldCharType="end"/>
        </w:r>
      </w:hyperlink>
    </w:p>
    <w:p w14:paraId="6F278EC5" w14:textId="202C41C2"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129</w:t>
        </w:r>
        <w:r w:rsidR="00BF74B6" w:rsidRPr="00E135DC">
          <w:rPr>
            <w:rFonts w:cs="Arial"/>
            <w:noProof/>
            <w:webHidden/>
            <w:sz w:val="19"/>
            <w:szCs w:val="19"/>
          </w:rPr>
          <w:fldChar w:fldCharType="end"/>
        </w:r>
      </w:hyperlink>
    </w:p>
    <w:p w14:paraId="5B9D06DD" w14:textId="205C3ABD" w:rsidR="00BF74B6" w:rsidRPr="00E135DC" w:rsidRDefault="002E082D">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131</w:t>
        </w:r>
        <w:r w:rsidR="00BF74B6" w:rsidRPr="00E135DC">
          <w:rPr>
            <w:rFonts w:cs="Arial"/>
            <w:noProof/>
            <w:webHidden/>
            <w:sz w:val="19"/>
            <w:szCs w:val="19"/>
          </w:rPr>
          <w:fldChar w:fldCharType="end"/>
        </w:r>
      </w:hyperlink>
    </w:p>
    <w:p w14:paraId="321D2A52" w14:textId="0D462C72"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131</w:t>
        </w:r>
        <w:r w:rsidR="00BF74B6" w:rsidRPr="00E135DC">
          <w:rPr>
            <w:rFonts w:cs="Arial"/>
            <w:noProof/>
            <w:webHidden/>
            <w:sz w:val="19"/>
            <w:szCs w:val="19"/>
          </w:rPr>
          <w:fldChar w:fldCharType="end"/>
        </w:r>
      </w:hyperlink>
    </w:p>
    <w:p w14:paraId="23ED640E" w14:textId="5823C557" w:rsidR="00BF74B6" w:rsidRPr="00E135DC" w:rsidRDefault="002E082D">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134</w:t>
        </w:r>
        <w:r w:rsidR="00BF74B6" w:rsidRPr="00E135DC">
          <w:rPr>
            <w:rFonts w:cs="Arial"/>
            <w:noProof/>
            <w:webHidden/>
            <w:sz w:val="19"/>
            <w:szCs w:val="19"/>
          </w:rPr>
          <w:fldChar w:fldCharType="end"/>
        </w:r>
      </w:hyperlink>
    </w:p>
    <w:p w14:paraId="652445E0" w14:textId="6F566FB9" w:rsidR="00BF74B6" w:rsidRPr="00E135DC" w:rsidRDefault="002E082D">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141</w:t>
        </w:r>
        <w:r w:rsidR="00BF74B6" w:rsidRPr="00E135DC">
          <w:rPr>
            <w:rFonts w:cs="Arial"/>
            <w:noProof/>
            <w:webHidden/>
            <w:sz w:val="19"/>
            <w:szCs w:val="19"/>
          </w:rPr>
          <w:fldChar w:fldCharType="end"/>
        </w:r>
      </w:hyperlink>
    </w:p>
    <w:p w14:paraId="3B998595" w14:textId="6208F33B" w:rsidR="00BF74B6" w:rsidRPr="00E135DC" w:rsidRDefault="002E082D">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142</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w:t>
      </w:r>
      <w:r w:rsidRPr="0073389C">
        <w:rPr>
          <w:rFonts w:cs="Arial"/>
          <w:szCs w:val="19"/>
          <w:lang w:val="sk-SK"/>
        </w:rPr>
        <w:lastRenderedPageBreak/>
        <w:t>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w:t>
      </w:r>
      <w:r w:rsidR="00C6030F" w:rsidRPr="0073389C">
        <w:rPr>
          <w:szCs w:val="19"/>
          <w:lang w:val="sk-SK"/>
        </w:rPr>
        <w:lastRenderedPageBreak/>
        <w:t xml:space="preserve">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00F576F7" w:rsidRPr="0073389C">
        <w:rPr>
          <w:rFonts w:cs="Arial"/>
          <w:szCs w:val="19"/>
          <w:lang w:val="sk-SK"/>
        </w:rPr>
        <w:t>pododsek</w:t>
      </w:r>
      <w:proofErr w:type="spellEnd"/>
      <w:r w:rsidR="00F576F7" w:rsidRPr="0073389C">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w:t>
      </w:r>
      <w:r w:rsidR="00F576F7" w:rsidRPr="0073389C">
        <w:rPr>
          <w:rFonts w:cs="Arial"/>
          <w:szCs w:val="19"/>
          <w:lang w:val="sk-SK"/>
        </w:rPr>
        <w:lastRenderedPageBreak/>
        <w:t xml:space="preserve">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Pomoc "de </w:t>
      </w:r>
      <w:proofErr w:type="spellStart"/>
      <w:r w:rsidRPr="0073389C">
        <w:rPr>
          <w:rFonts w:cs="Arial"/>
          <w:b/>
          <w:szCs w:val="19"/>
          <w:lang w:val="sk-SK"/>
        </w:rPr>
        <w:t>minimis</w:t>
      </w:r>
      <w:proofErr w:type="spellEnd"/>
      <w:r w:rsidRPr="0073389C">
        <w:rPr>
          <w:rFonts w:cs="Arial"/>
          <w:b/>
          <w:szCs w:val="19"/>
          <w:lang w:val="sk-SK"/>
        </w:rPr>
        <w:t>"</w:t>
      </w:r>
      <w:r w:rsidRPr="0073389C">
        <w:rPr>
          <w:rFonts w:cs="Arial"/>
          <w:szCs w:val="19"/>
          <w:lang w:val="sk-SK"/>
        </w:rPr>
        <w:t xml:space="preserve"> - </w:t>
      </w:r>
      <w:r w:rsidR="00F576F7"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F576F7" w:rsidRPr="0073389C">
        <w:rPr>
          <w:rFonts w:cs="Arial"/>
          <w:szCs w:val="19"/>
          <w:lang w:val="sk-SK"/>
        </w:rPr>
        <w:t>minimis</w:t>
      </w:r>
      <w:proofErr w:type="spellEnd"/>
      <w:r w:rsidR="00F576F7" w:rsidRPr="0073389C">
        <w:rPr>
          <w:rFonts w:cs="Arial"/>
          <w:szCs w:val="19"/>
          <w:lang w:val="sk-SK"/>
        </w:rPr>
        <w:t xml:space="preserve">". Celková pomoc "de </w:t>
      </w:r>
      <w:proofErr w:type="spellStart"/>
      <w:r w:rsidR="00F576F7" w:rsidRPr="0073389C">
        <w:rPr>
          <w:rFonts w:cs="Arial"/>
          <w:szCs w:val="19"/>
          <w:lang w:val="sk-SK"/>
        </w:rPr>
        <w:t>minimis</w:t>
      </w:r>
      <w:proofErr w:type="spellEnd"/>
      <w:r w:rsidR="00F576F7"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F576F7" w:rsidRPr="0073389C">
        <w:rPr>
          <w:rFonts w:cs="Arial"/>
          <w:szCs w:val="19"/>
          <w:lang w:val="sk-SK"/>
        </w:rPr>
        <w:t>minimis</w:t>
      </w:r>
      <w:proofErr w:type="spellEnd"/>
      <w:r w:rsidR="00F576F7" w:rsidRPr="0073389C">
        <w:rPr>
          <w:rFonts w:cs="Arial"/>
          <w:szCs w:val="19"/>
          <w:lang w:val="sk-SK"/>
        </w:rPr>
        <w:t>"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F576F7" w:rsidRPr="0073389C">
        <w:rPr>
          <w:rFonts w:cs="Arial"/>
          <w:szCs w:val="19"/>
          <w:lang w:val="sk-SK"/>
        </w:rPr>
        <w:t>minimis</w:t>
      </w:r>
      <w:proofErr w:type="spellEnd"/>
      <w:r w:rsidR="00F576F7" w:rsidRPr="0073389C">
        <w:rPr>
          <w:rFonts w:cs="Arial"/>
          <w:szCs w:val="19"/>
          <w:lang w:val="sk-SK"/>
        </w:rPr>
        <w:t>"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xml:space="preserve">, ktorej bola schválená žiadosť v konaní podľa tohto zákona. Z hľadiska pravidiel štátnej pomoci, dátumom poskytnutia pomoci podľa schém štátnej pomoci a schém pomoci "de </w:t>
      </w:r>
      <w:proofErr w:type="spellStart"/>
      <w:r w:rsidR="00F576F7" w:rsidRPr="0073389C">
        <w:rPr>
          <w:rFonts w:cs="Arial"/>
          <w:szCs w:val="19"/>
          <w:lang w:val="sk-SK"/>
        </w:rPr>
        <w:t>minimis</w:t>
      </w:r>
      <w:proofErr w:type="spellEnd"/>
      <w:r w:rsidR="00F576F7" w:rsidRPr="0073389C">
        <w:rPr>
          <w:rFonts w:cs="Arial"/>
          <w:szCs w:val="19"/>
          <w:lang w:val="sk-SK"/>
        </w:rPr>
        <w:t>"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w:t>
      </w:r>
      <w:proofErr w:type="spellStart"/>
      <w:r w:rsidRPr="007556CE">
        <w:rPr>
          <w:lang w:val="sk-SK"/>
        </w:rPr>
        <w:t>ŽoP</w:t>
      </w:r>
      <w:proofErr w:type="spellEnd"/>
      <w:r w:rsidRPr="007556CE">
        <w:rPr>
          <w:lang w:val="sk-SK"/>
        </w:rPr>
        <w:t xml:space="preserve"> (</w:t>
      </w:r>
      <w:proofErr w:type="spellStart"/>
      <w:r w:rsidRPr="007556CE">
        <w:rPr>
          <w:lang w:val="sk-SK"/>
        </w:rPr>
        <w:t>predfinancovanie</w:t>
      </w:r>
      <w:proofErr w:type="spellEnd"/>
      <w:r w:rsidRPr="007556CE">
        <w:rPr>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556CE">
        <w:rPr>
          <w:lang w:val="sk-SK"/>
        </w:rPr>
        <w:t>ŽoP</w:t>
      </w:r>
      <w:proofErr w:type="spellEnd"/>
      <w:r w:rsidRPr="007556CE">
        <w:rPr>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lastRenderedPageBreak/>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6DE9BEFB" w14:textId="24F003A3" w:rsidR="00594863" w:rsidRPr="0073389C" w:rsidRDefault="00594863" w:rsidP="00AE0D10">
      <w:pPr>
        <w:pStyle w:val="Bulletslevel1"/>
        <w:numPr>
          <w:ilvl w:val="0"/>
          <w:numId w:val="0"/>
        </w:numPr>
        <w:spacing w:after="120" w:line="288" w:lineRule="auto"/>
        <w:ind w:left="567"/>
        <w:jc w:val="both"/>
        <w:rPr>
          <w:szCs w:val="19"/>
          <w:lang w:val="sk-SK"/>
        </w:rPr>
      </w:pP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lastRenderedPageBreak/>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 xml:space="preserve">zadefinované v zmluve o NFP/rozhodnutí o schválení </w:t>
      </w:r>
      <w:proofErr w:type="spellStart"/>
      <w:r>
        <w:rPr>
          <w:rFonts w:ascii="Arial" w:hAnsi="Arial"/>
          <w:color w:val="auto"/>
          <w:sz w:val="19"/>
          <w:lang w:val="sk-SK"/>
        </w:rPr>
        <w:t>ŽoNFP</w:t>
      </w:r>
      <w:proofErr w:type="spellEnd"/>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w:t>
      </w:r>
      <w:proofErr w:type="spellStart"/>
      <w:r>
        <w:rPr>
          <w:rFonts w:ascii="Arial" w:hAnsi="Arial"/>
          <w:color w:val="auto"/>
          <w:sz w:val="19"/>
          <w:lang w:val="sk-SK"/>
        </w:rPr>
        <w:t>ŽoNFP</w:t>
      </w:r>
      <w:proofErr w:type="spellEnd"/>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w:t>
      </w:r>
      <w:r w:rsidRPr="006B33FB">
        <w:rPr>
          <w:rFonts w:ascii="Arial" w:hAnsi="Arial"/>
          <w:color w:val="auto"/>
          <w:sz w:val="19"/>
          <w:lang w:val="sk-SK"/>
        </w:rPr>
        <w:lastRenderedPageBreak/>
        <w:t>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lastRenderedPageBreak/>
        <w:t>Charakter zmien a spôsob posudzovania zmien</w:t>
      </w:r>
      <w:bookmarkEnd w:id="35"/>
      <w:bookmarkEnd w:id="3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lastRenderedPageBreak/>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w:t>
      </w:r>
      <w:r w:rsidR="002E410E" w:rsidRPr="0073389C">
        <w:lastRenderedPageBreak/>
        <w:t xml:space="preserve">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w:t>
      </w:r>
      <w:proofErr w:type="spellStart"/>
      <w:r w:rsidRPr="00DD1EC0">
        <w:rPr>
          <w:rFonts w:cs="Arial"/>
          <w:szCs w:val="16"/>
        </w:rPr>
        <w:t>predfinancovania</w:t>
      </w:r>
      <w:proofErr w:type="spellEnd"/>
      <w:r w:rsidRPr="00DD1EC0">
        <w:rPr>
          <w:rFonts w:cs="Arial"/>
          <w:szCs w:val="16"/>
        </w:rPr>
        <w:t>,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lastRenderedPageBreak/>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w:t>
      </w:r>
      <w:r w:rsidRPr="0073389C">
        <w:lastRenderedPageBreak/>
        <w:t>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lastRenderedPageBreak/>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lastRenderedPageBreak/>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proofErr w:type="spellStart"/>
      <w:r w:rsidR="00687044">
        <w:rPr>
          <w:sz w:val="18"/>
          <w:szCs w:val="18"/>
        </w:rPr>
        <w:t>účinn</w:t>
      </w:r>
      <w:r w:rsidR="00687044" w:rsidRPr="008F2822">
        <w:rPr>
          <w:sz w:val="18"/>
          <w:szCs w:val="18"/>
        </w:rPr>
        <w:t>osťou</w:t>
      </w:r>
      <w:proofErr w:type="spellEnd"/>
      <w:r w:rsidR="00687044" w:rsidRPr="008F2822">
        <w:rPr>
          <w:sz w:val="18"/>
          <w:szCs w:val="18"/>
        </w:rPr>
        <w:t xml:space="preserve"> rozumie vzťah medzi plánovanými výstupmi projektu a skutočnými výstupmi projektu</w:t>
      </w:r>
      <w:r w:rsidRPr="0073389C">
        <w:t xml:space="preserve">). Overovanie hospodárnosti, efektívnosti a účelnosti sa vykonáva aj na základe poskytnutých informácií od </w:t>
      </w:r>
      <w:r w:rsidRPr="0073389C">
        <w:lastRenderedPageBreak/>
        <w:t>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nebol prijímateľom preukázaný a uplatnený v žiadosti o platbu (refundáciu/zúčtovanie zálohovej platby/zúčtovanie </w:t>
      </w:r>
      <w:proofErr w:type="spellStart"/>
      <w:r w:rsidRPr="0073389C">
        <w:t>predfinancovania</w:t>
      </w:r>
      <w:proofErr w:type="spellEnd"/>
      <w:r w:rsidRPr="0073389C">
        <w:t>)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lastRenderedPageBreak/>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6"/>
      </w:r>
      <w:r w:rsidRPr="0073389C">
        <w:t xml:space="preserve">, resp. odmeny na základe dohôd o </w:t>
      </w:r>
      <w:proofErr w:type="spellStart"/>
      <w:r w:rsidR="001F6828" w:rsidRPr="0073389C">
        <w:t>prác</w:t>
      </w:r>
      <w:r w:rsidR="00CE6423">
        <w:t>ách</w:t>
      </w:r>
      <w:proofErr w:type="spellEnd"/>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w:t>
      </w:r>
      <w:r w:rsidRPr="0073389C">
        <w:rPr>
          <w:rFonts w:ascii="Arial" w:hAnsi="Arial" w:cs="Arial"/>
          <w:sz w:val="19"/>
          <w:szCs w:val="19"/>
          <w:lang w:val="sk-SK"/>
        </w:rPr>
        <w:lastRenderedPageBreak/>
        <w:t xml:space="preserve">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40"/>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lastRenderedPageBreak/>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proofErr w:type="spellStart"/>
      <w:r w:rsidR="00DA0EED" w:rsidRPr="009258CF">
        <w:rPr>
          <w:color w:val="000000" w:themeColor="text1"/>
          <w:sz w:val="19"/>
          <w:szCs w:val="19"/>
        </w:rPr>
        <w:t>pravidlám</w:t>
      </w:r>
      <w:proofErr w:type="spellEnd"/>
      <w:r w:rsidR="00DA0EED" w:rsidRPr="009258CF">
        <w:rPr>
          <w:color w:val="000000" w:themeColor="text1"/>
          <w:sz w:val="19"/>
          <w:szCs w:val="19"/>
        </w:rPr>
        <w:t xml:space="preserve"> </w:t>
      </w:r>
      <w:proofErr w:type="spellStart"/>
      <w:r w:rsidR="00DA0EED" w:rsidRPr="009258CF">
        <w:rPr>
          <w:color w:val="000000" w:themeColor="text1"/>
          <w:sz w:val="19"/>
          <w:szCs w:val="19"/>
        </w:rPr>
        <w:t>oprávnenosti</w:t>
      </w:r>
      <w:proofErr w:type="spellEnd"/>
      <w:r w:rsidR="00DA0EED" w:rsidRPr="009258CF">
        <w:rPr>
          <w:color w:val="000000" w:themeColor="text1"/>
          <w:sz w:val="19"/>
          <w:szCs w:val="19"/>
        </w:rPr>
        <w:t xml:space="preserve"> </w:t>
      </w:r>
      <w:proofErr w:type="spellStart"/>
      <w:r w:rsidR="00DA0EED" w:rsidRPr="009258CF">
        <w:rPr>
          <w:color w:val="000000" w:themeColor="text1"/>
          <w:sz w:val="19"/>
          <w:szCs w:val="19"/>
        </w:rPr>
        <w:t>pre</w:t>
      </w:r>
      <w:proofErr w:type="spellEnd"/>
      <w:r w:rsidR="00DA0EED" w:rsidRPr="009258CF">
        <w:rPr>
          <w:color w:val="000000" w:themeColor="text1"/>
          <w:sz w:val="19"/>
          <w:szCs w:val="19"/>
        </w:rPr>
        <w:t xml:space="preserve"> </w:t>
      </w:r>
      <w:proofErr w:type="spellStart"/>
      <w:r w:rsidR="00DA0EED" w:rsidRPr="009258CF">
        <w:rPr>
          <w:color w:val="000000"/>
          <w:sz w:val="19"/>
          <w:szCs w:val="19"/>
        </w:rPr>
        <w:t>najčastejšie</w:t>
      </w:r>
      <w:proofErr w:type="spellEnd"/>
      <w:r w:rsidR="00DA0EED" w:rsidRPr="009258CF">
        <w:rPr>
          <w:color w:val="000000"/>
          <w:sz w:val="19"/>
          <w:szCs w:val="19"/>
        </w:rPr>
        <w:t xml:space="preserve"> </w:t>
      </w:r>
      <w:proofErr w:type="spellStart"/>
      <w:r w:rsidR="00DA0EED" w:rsidRPr="009258CF">
        <w:rPr>
          <w:color w:val="000000"/>
          <w:sz w:val="19"/>
          <w:szCs w:val="19"/>
        </w:rPr>
        <w:t>sa</w:t>
      </w:r>
      <w:proofErr w:type="spellEnd"/>
      <w:r w:rsidR="00DA0EED" w:rsidRPr="009258CF">
        <w:rPr>
          <w:color w:val="000000"/>
          <w:sz w:val="19"/>
          <w:szCs w:val="19"/>
        </w:rPr>
        <w:t xml:space="preserve"> </w:t>
      </w:r>
      <w:proofErr w:type="spellStart"/>
      <w:r w:rsidR="00DA0EED" w:rsidRPr="009258CF">
        <w:rPr>
          <w:color w:val="000000"/>
          <w:sz w:val="19"/>
          <w:szCs w:val="19"/>
        </w:rPr>
        <w:t>vyskytujúce</w:t>
      </w:r>
      <w:proofErr w:type="spellEnd"/>
      <w:r w:rsidR="00DA0EED" w:rsidRPr="009258CF">
        <w:rPr>
          <w:color w:val="000000"/>
          <w:sz w:val="19"/>
          <w:szCs w:val="19"/>
        </w:rPr>
        <w:t xml:space="preserve"> skupiny </w:t>
      </w:r>
      <w:proofErr w:type="spellStart"/>
      <w:r w:rsidR="00DA0EED" w:rsidRPr="009258CF">
        <w:rPr>
          <w:color w:val="000000"/>
          <w:sz w:val="19"/>
          <w:szCs w:val="19"/>
        </w:rPr>
        <w:t>výdavkov</w:t>
      </w:r>
      <w:proofErr w:type="spellEnd"/>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lastRenderedPageBreak/>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8"/>
      </w:r>
      <w:r w:rsidRPr="0073389C">
        <w:rPr>
          <w:rFonts w:cs="Arial"/>
          <w:b w:val="0"/>
          <w:color w:val="auto"/>
          <w:sz w:val="19"/>
          <w:szCs w:val="19"/>
          <w:lang w:val="sk-SK"/>
        </w:rPr>
        <w:t xml:space="preserve"> (vypočítaný z oprávnenej vstupnej ceny majetku) a maximálne do </w:t>
      </w:r>
      <w:r w:rsidRPr="0073389C">
        <w:rPr>
          <w:rFonts w:cs="Arial"/>
          <w:b w:val="0"/>
          <w:color w:val="auto"/>
          <w:sz w:val="19"/>
          <w:szCs w:val="19"/>
          <w:lang w:val="sk-SK"/>
        </w:rPr>
        <w:lastRenderedPageBreak/>
        <w:t xml:space="preserve">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0"/>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1"/>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52"/>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lastRenderedPageBreak/>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w:t>
      </w:r>
      <w:proofErr w:type="spellStart"/>
      <w:r w:rsidR="00CB778D">
        <w:rPr>
          <w:rFonts w:cs="Arial"/>
        </w:rPr>
        <w:t>nárokovateľná</w:t>
      </w:r>
      <w:proofErr w:type="spellEnd"/>
      <w:r w:rsidR="00CB778D">
        <w:rPr>
          <w:rFonts w:cs="Arial"/>
        </w:rPr>
        <w:t>) výška</w:t>
      </w:r>
      <w:r w:rsidR="002E2814">
        <w:rPr>
          <w:rFonts w:cs="Arial"/>
        </w:rPr>
        <w:t xml:space="preserve"> ostatných nákladov projektu, </w:t>
      </w:r>
      <w:proofErr w:type="spellStart"/>
      <w:r w:rsidR="002E2814">
        <w:rPr>
          <w:rFonts w:cs="Arial"/>
        </w:rPr>
        <w:t>t.j</w:t>
      </w:r>
      <w:proofErr w:type="spellEnd"/>
      <w:r w:rsidR="002E2814">
        <w:rPr>
          <w:rFonts w:cs="Arial"/>
        </w:rPr>
        <w:t xml:space="preserve">. </w:t>
      </w:r>
      <w:r w:rsidR="002E2814">
        <w:rPr>
          <w:rFonts w:cs="Arial"/>
        </w:rPr>
        <w:lastRenderedPageBreak/>
        <w:t>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w:t>
      </w:r>
      <w:proofErr w:type="spellStart"/>
      <w:r w:rsidR="002E2814">
        <w:rPr>
          <w:rFonts w:cs="Arial"/>
        </w:rPr>
        <w:t>Nárokovateľná</w:t>
      </w:r>
      <w:proofErr w:type="spellEnd"/>
      <w:r w:rsidR="002E2814">
        <w:rPr>
          <w:rFonts w:cs="Arial"/>
        </w:rPr>
        <w:t xml:space="preserve"> výška paušálnej sadzby sa pri priebežnom financovaní výdavkov projektu zaokrúhľuje na eurocenty nadol a prípadné </w:t>
      </w:r>
      <w:proofErr w:type="spellStart"/>
      <w:r w:rsidR="002E2814">
        <w:rPr>
          <w:rFonts w:cs="Arial"/>
        </w:rPr>
        <w:t>nárokovateľné</w:t>
      </w:r>
      <w:proofErr w:type="spellEnd"/>
      <w:r w:rsidR="002E2814">
        <w:rPr>
          <w:rFonts w:cs="Arial"/>
        </w:rPr>
        <w:t xml:space="preserve">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58"/>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0"/>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w:t>
      </w:r>
      <w:r w:rsidRPr="0073389C">
        <w:rPr>
          <w:rFonts w:ascii="Arial" w:hAnsi="Arial" w:cs="Arial"/>
          <w:sz w:val="19"/>
          <w:szCs w:val="19"/>
          <w:lang w:val="sk-SK" w:eastAsia="en-US"/>
        </w:rPr>
        <w:lastRenderedPageBreak/>
        <w:t>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1"/>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2"/>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xml:space="preserve">, 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63"/>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4"/>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výlučne systémom </w:t>
      </w:r>
      <w:proofErr w:type="spellStart"/>
      <w:r w:rsidRPr="0073389C">
        <w:t>predfinancovania</w:t>
      </w:r>
      <w:proofErr w:type="spellEnd"/>
      <w:r w:rsidRPr="0073389C">
        <w:t>,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lastRenderedPageBreak/>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 pripísania týchto prostriedkov na jeho účet.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xml:space="preserve">),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 xml:space="preserve">Nezúčtovaný rozdiel </w:t>
      </w:r>
      <w:proofErr w:type="spellStart"/>
      <w:r w:rsidRPr="00BB706D">
        <w:rPr>
          <w:rFonts w:cs="Arial"/>
          <w:color w:val="auto"/>
          <w:szCs w:val="19"/>
          <w:lang w:val="sk-SK"/>
        </w:rPr>
        <w:t>predfinancovania</w:t>
      </w:r>
      <w:proofErr w:type="spellEnd"/>
      <w:r w:rsidRPr="00BB706D">
        <w:rPr>
          <w:rFonts w:cs="Arial"/>
          <w:color w:val="auto"/>
          <w:szCs w:val="19"/>
          <w:lang w:val="sk-SK"/>
        </w:rPr>
        <w:t xml:space="preserve">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5"/>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lastRenderedPageBreak/>
        <w:t xml:space="preserve">Poskytnutie zálohovej platby </w:t>
      </w: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systému </w:t>
      </w:r>
      <w:proofErr w:type="spellStart"/>
      <w:r w:rsidRPr="0073389C">
        <w:rPr>
          <w:b/>
        </w:rPr>
        <w:t>predfinancovania</w:t>
      </w:r>
      <w:proofErr w:type="spellEnd"/>
      <w:r w:rsidRPr="0073389C">
        <w:rPr>
          <w:b/>
        </w:rPr>
        <w:t>,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 xml:space="preserve">V prípade kombinácie systému zálohových platieb, systému refundácie a systému </w:t>
      </w:r>
      <w:proofErr w:type="spellStart"/>
      <w:r w:rsidRPr="0073389C">
        <w:t>predfinancovania</w:t>
      </w:r>
      <w:proofErr w:type="spellEnd"/>
      <w:r w:rsidRPr="0073389C">
        <w:t xml:space="preserve">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lastRenderedPageBreak/>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lastRenderedPageBreak/>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w:t>
      </w:r>
      <w:r w:rsidRPr="0073389C">
        <w:lastRenderedPageBreak/>
        <w:t xml:space="preserve">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6"/>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7A55D0ED" w14:textId="5923ED70" w:rsidR="007A0798" w:rsidRPr="0073389C" w:rsidRDefault="007A0798" w:rsidP="00CF7FC1">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67"/>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w:t>
      </w:r>
      <w:r w:rsidRPr="0073389C">
        <w:rPr>
          <w:rFonts w:ascii="Arial" w:hAnsi="Arial" w:cs="Arial"/>
          <w:sz w:val="19"/>
          <w:szCs w:val="19"/>
          <w:lang w:val="sk-SK"/>
        </w:rPr>
        <w:lastRenderedPageBreak/>
        <w:t xml:space="preserve">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je však povinný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151D4D" w:rsidRDefault="009417B0" w:rsidP="00151D4D">
      <w:pPr>
        <w:pStyle w:val="Default"/>
        <w:jc w:val="both"/>
        <w:rPr>
          <w:rFonts w:ascii="Arial" w:hAnsi="Arial"/>
          <w:lang w:val="sk-SK"/>
        </w:rPr>
      </w:pPr>
      <w:r w:rsidRPr="00F82F2B">
        <w:rPr>
          <w:rFonts w:ascii="Arial" w:hAnsi="Arial"/>
          <w:color w:val="auto"/>
          <w:sz w:val="19"/>
          <w:lang w:val="sk-SK"/>
        </w:rPr>
        <w:t xml:space="preserve">V zozname deklarovaných výdavkov </w:t>
      </w:r>
      <w:r w:rsidR="0041791C" w:rsidRPr="00F82F2B">
        <w:rPr>
          <w:rFonts w:ascii="Arial" w:hAnsi="Arial"/>
          <w:color w:val="auto"/>
          <w:sz w:val="19"/>
          <w:lang w:val="sk-SK"/>
        </w:rPr>
        <w:t>(časť</w:t>
      </w:r>
      <w:r w:rsidRPr="00F82F2B">
        <w:rPr>
          <w:rFonts w:ascii="Arial" w:hAnsi="Arial"/>
          <w:color w:val="auto"/>
          <w:sz w:val="19"/>
          <w:lang w:val="sk-SK"/>
        </w:rPr>
        <w:t xml:space="preserve"> A – A1</w:t>
      </w:r>
      <w:r w:rsidR="0041791C" w:rsidRPr="00F82F2B">
        <w:rPr>
          <w:rFonts w:ascii="Arial" w:hAnsi="Arial"/>
          <w:color w:val="auto"/>
          <w:sz w:val="19"/>
          <w:lang w:val="sk-SK"/>
        </w:rPr>
        <w:t>)</w:t>
      </w:r>
      <w:r w:rsidRPr="00F82F2B">
        <w:rPr>
          <w:rFonts w:ascii="Arial" w:hAnsi="Arial"/>
          <w:color w:val="auto"/>
          <w:sz w:val="19"/>
          <w:lang w:val="sk-SK"/>
        </w:rPr>
        <w:t xml:space="preserve"> vo formulári žiadosti o platbu </w:t>
      </w:r>
      <w:r w:rsidR="0041791C" w:rsidRPr="00F82F2B">
        <w:rPr>
          <w:rFonts w:ascii="Arial" w:hAnsi="Arial"/>
          <w:color w:val="auto"/>
          <w:sz w:val="19"/>
          <w:lang w:val="sk-SK"/>
        </w:rPr>
        <w:t xml:space="preserve">prijímateľ uvedie </w:t>
      </w:r>
      <w:r w:rsidR="00790967" w:rsidRPr="00F82F2B">
        <w:rPr>
          <w:rFonts w:ascii="Arial" w:hAnsi="Arial"/>
          <w:color w:val="auto"/>
          <w:sz w:val="19"/>
          <w:lang w:val="sk-SK"/>
        </w:rPr>
        <w:t xml:space="preserve">v stĺpci „Názov výdavku“ </w:t>
      </w:r>
      <w:r w:rsidR="0041791C" w:rsidRPr="00F82F2B">
        <w:rPr>
          <w:rFonts w:ascii="Arial" w:hAnsi="Arial"/>
          <w:color w:val="auto"/>
          <w:sz w:val="19"/>
          <w:lang w:val="sk-SK"/>
        </w:rPr>
        <w:t xml:space="preserve">popis výdavku </w:t>
      </w:r>
      <w:r w:rsidR="00627C7E">
        <w:rPr>
          <w:rFonts w:ascii="Arial" w:hAnsi="Arial"/>
          <w:color w:val="auto"/>
          <w:sz w:val="19"/>
          <w:lang w:val="sk-SK"/>
        </w:rPr>
        <w:t>(pri mzdových výdavkoch</w:t>
      </w:r>
      <w:r w:rsidR="00775636">
        <w:rPr>
          <w:rFonts w:ascii="Arial" w:hAnsi="Arial"/>
          <w:color w:val="auto"/>
          <w:sz w:val="19"/>
          <w:lang w:val="sk-SK"/>
        </w:rPr>
        <w:t xml:space="preserve"> prijímateľ uvedie aj obdobie, za ktoré si nárokuje </w:t>
      </w:r>
      <w:r w:rsidR="00E6119B">
        <w:rPr>
          <w:rFonts w:ascii="Arial" w:hAnsi="Arial"/>
          <w:color w:val="auto"/>
          <w:sz w:val="19"/>
          <w:lang w:val="sk-SK"/>
        </w:rPr>
        <w:t>tieto</w:t>
      </w:r>
      <w:r w:rsidR="00775636">
        <w:rPr>
          <w:rFonts w:ascii="Arial" w:hAnsi="Arial"/>
          <w:color w:val="auto"/>
          <w:sz w:val="19"/>
          <w:lang w:val="sk-SK"/>
        </w:rPr>
        <w:t xml:space="preserve"> výdavky</w:t>
      </w:r>
      <w:r w:rsidR="00627C7E">
        <w:rPr>
          <w:rFonts w:ascii="Arial" w:hAnsi="Arial"/>
          <w:color w:val="auto"/>
          <w:sz w:val="19"/>
          <w:lang w:val="sk-SK"/>
        </w:rPr>
        <w:t xml:space="preserve">) </w:t>
      </w:r>
      <w:r w:rsidR="0041791C" w:rsidRPr="00F82F2B">
        <w:rPr>
          <w:rFonts w:ascii="Arial" w:hAnsi="Arial"/>
          <w:color w:val="auto"/>
          <w:sz w:val="19"/>
          <w:lang w:val="sk-SK"/>
        </w:rPr>
        <w:t xml:space="preserve">spolu s názvom ekonomickej klasifikácie v zmysle </w:t>
      </w:r>
      <w:r w:rsidR="00F82F2B" w:rsidRPr="00151D4D">
        <w:rPr>
          <w:rFonts w:ascii="Arial" w:hAnsi="Arial"/>
          <w:color w:val="auto"/>
          <w:sz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w:t>
      </w:r>
      <w:r w:rsidRPr="0073389C">
        <w:rPr>
          <w:rFonts w:ascii="Arial" w:hAnsi="Arial" w:cs="Arial"/>
          <w:sz w:val="19"/>
          <w:szCs w:val="19"/>
          <w:lang w:val="sk-SK" w:eastAsia="cs-CZ"/>
        </w:rPr>
        <w:lastRenderedPageBreak/>
        <w:t>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4"/>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5"/>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6"/>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lastRenderedPageBreak/>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8"/>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9"/>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0"/>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3"/>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4"/>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5"/>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6"/>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 xml:space="preserve">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w:t>
      </w:r>
      <w:r w:rsidRPr="0073389C">
        <w:lastRenderedPageBreak/>
        <w:t>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lastRenderedPageBreak/>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w:t>
      </w:r>
      <w:r w:rsidRPr="00561705">
        <w:rPr>
          <w:rFonts w:cs="Arial"/>
          <w:szCs w:val="16"/>
        </w:rPr>
        <w:lastRenderedPageBreak/>
        <w:t>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lastRenderedPageBreak/>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w:t>
      </w:r>
      <w:r w:rsidRPr="000628E2">
        <w:rPr>
          <w:rStyle w:val="normaltextrun"/>
          <w:rFonts w:ascii="Arial" w:hAnsi="Arial" w:cs="Arial"/>
          <w:b/>
          <w:bCs/>
          <w:sz w:val="19"/>
          <w:szCs w:val="19"/>
        </w:rPr>
        <w:lastRenderedPageBreak/>
        <w:t xml:space="preserve">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lastRenderedPageBreak/>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738F16D2"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7"/>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8"/>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lastRenderedPageBreak/>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w:t>
      </w:r>
      <w:r w:rsidR="001D76D4">
        <w:rPr>
          <w:rFonts w:cs="Arial"/>
          <w:szCs w:val="19"/>
        </w:rPr>
        <w:lastRenderedPageBreak/>
        <w:t xml:space="preserve">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89"/>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58BD398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14:paraId="13D0B168" w14:textId="28687B8D"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 (rozpočet) uvedená v zmluve o NFP, poskytovateľ preplatí výdavky len do výšky sumy schválenej v </w:t>
      </w:r>
      <w:proofErr w:type="spellStart"/>
      <w:r w:rsidR="000A2AD4">
        <w:t>Žo</w:t>
      </w:r>
      <w:r w:rsidRPr="0073389C">
        <w:t>NFP</w:t>
      </w:r>
      <w:proofErr w:type="spellEnd"/>
      <w:r w:rsidRPr="0073389C">
        <w:t xml:space="preserve">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0"/>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2B4EE44E"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lastRenderedPageBreak/>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xml:space="preserve">. </w:t>
      </w:r>
      <w:r w:rsidRPr="0048666F">
        <w:rPr>
          <w:rFonts w:ascii="Arial" w:hAnsi="Arial" w:cs="Arial"/>
          <w:b w:val="0"/>
          <w:sz w:val="19"/>
          <w:szCs w:val="19"/>
        </w:rPr>
        <w:lastRenderedPageBreak/>
        <w:t>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w:t>
      </w:r>
      <w:proofErr w:type="spellStart"/>
      <w:r w:rsidRPr="00D11568">
        <w:rPr>
          <w:rFonts w:cs="Arial"/>
          <w:lang w:val="sk-SK"/>
        </w:rPr>
        <w:t>ante</w:t>
      </w:r>
      <w:proofErr w:type="spellEnd"/>
      <w:r w:rsidRPr="00D11568">
        <w:rPr>
          <w:rFonts w:cs="Arial"/>
          <w:lang w:val="sk-SK"/>
        </w:rPr>
        <w:t xml:space="preserv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lastRenderedPageBreak/>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xml:space="preserve">)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18C07065" w14:textId="13101994"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 xml:space="preserve">preukázateľné potvrdenie  (napr. </w:t>
      </w:r>
      <w:proofErr w:type="spellStart"/>
      <w:r w:rsidRPr="00D72FDB">
        <w:rPr>
          <w:rFonts w:cs="Arial"/>
          <w:lang w:val="sk-SK"/>
        </w:rPr>
        <w:t>printscreen</w:t>
      </w:r>
      <w:proofErr w:type="spellEnd"/>
      <w:r w:rsidRPr="00D72FDB">
        <w:rPr>
          <w:rFonts w:cs="Arial"/>
          <w:lang w:val="sk-SK"/>
        </w:rPr>
        <w:t>) preverovania zápisu úspešného uchádzača, resp. jeho subdodávateľov a osôb podľa § 33 ods. 2 a § 34 ods. 2 ZVO v registri konečných užívateľov výhod alebo úspešného uchádzača, resp. jeho subdodávateľov v registri partnerov verejného sektora;</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51D4D">
      <w:pPr>
        <w:pStyle w:val="Bulletslevel2"/>
        <w:numPr>
          <w:ilvl w:val="0"/>
          <w:numId w:val="84"/>
        </w:numPr>
        <w:jc w:val="both"/>
        <w:rPr>
          <w:rFonts w:cs="Arial"/>
          <w:lang w:val="sk-SK"/>
        </w:rPr>
      </w:pPr>
      <w:r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lastRenderedPageBreak/>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1"/>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lastRenderedPageBreak/>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xml:space="preserve">.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w:t>
      </w:r>
      <w:proofErr w:type="spellStart"/>
      <w:r w:rsidRPr="00E8012F">
        <w:rPr>
          <w:rFonts w:cs="Arial"/>
          <w:szCs w:val="19"/>
        </w:rPr>
        <w:t>ŽoNFP</w:t>
      </w:r>
      <w:proofErr w:type="spellEnd"/>
      <w:r w:rsidRPr="00E8012F">
        <w:rPr>
          <w:rFonts w:cs="Arial"/>
          <w:szCs w:val="19"/>
        </w:rPr>
        <w:t xml:space="preserve">. Predmetom obstarania by mali byť také tovary, služby a práce, ktoré sú potrebné na realizáciu projektu a ktorých obstaranie bolo v </w:t>
      </w:r>
      <w:proofErr w:type="spellStart"/>
      <w:r w:rsidRPr="00E8012F">
        <w:rPr>
          <w:rFonts w:cs="Arial"/>
          <w:szCs w:val="19"/>
        </w:rPr>
        <w:t>ŽoNFP</w:t>
      </w:r>
      <w:proofErr w:type="spellEnd"/>
      <w:r w:rsidRPr="00E8012F">
        <w:rPr>
          <w:rFonts w:cs="Arial"/>
          <w:szCs w:val="19"/>
        </w:rPr>
        <w:t xml:space="preserve">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C477FA">
        <w:rPr>
          <w:lang w:val="sk-SK"/>
        </w:rPr>
        <w:t xml:space="preserve">Typy </w:t>
      </w:r>
      <w:r w:rsidRPr="0073389C">
        <w:rPr>
          <w:lang w:val="sk-SK"/>
        </w:rPr>
        <w:t>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 xml:space="preserve">a zároveň v prípade nadlimitných zákaziek realizovaných cez elektronické trhovisko aj automaticky vytvorené oznámenie o vyhlásení verejného obstarávania a súťažné podklady, ktoré boli </w:t>
      </w:r>
      <w:r w:rsidR="00F0718F" w:rsidRPr="005F1F6B">
        <w:rPr>
          <w:rFonts w:cs="Arial"/>
          <w:szCs w:val="19"/>
        </w:rPr>
        <w:lastRenderedPageBreak/>
        <w:t>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Povinnosť prijímateľa predkladať dokumentáciu na ex-</w:t>
      </w:r>
      <w:proofErr w:type="spellStart"/>
      <w:r w:rsidRPr="00C7417C">
        <w:t>ante</w:t>
      </w:r>
      <w:proofErr w:type="spellEnd"/>
      <w:r w:rsidRPr="00C7417C">
        <w:t xml:space="preserv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w:t>
      </w:r>
      <w:proofErr w:type="spellStart"/>
      <w:r w:rsidRPr="00E322E9">
        <w:t>ŽoNFP</w:t>
      </w:r>
      <w:proofErr w:type="spellEnd"/>
      <w:r w:rsidRPr="00E322E9">
        <w:t>.</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w:t>
      </w:r>
      <w:proofErr w:type="spellStart"/>
      <w:r w:rsidR="00D630B1">
        <w:t>ante</w:t>
      </w:r>
      <w:proofErr w:type="spellEnd"/>
      <w:r w:rsidR="00D630B1">
        <w:t xml:space="preserve"> kontrola sa </w:t>
      </w:r>
      <w:r w:rsidR="00C7417C" w:rsidRPr="008D5848">
        <w:t xml:space="preserve">vykonáva pri: </w:t>
      </w:r>
    </w:p>
    <w:p w14:paraId="271947DC" w14:textId="02E62B61"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14:paraId="0FE68191" w14:textId="531AD0EC"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14:paraId="2A44826F" w14:textId="6163A0F1"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w:t>
      </w:r>
      <w:proofErr w:type="spellStart"/>
      <w:r w:rsidRPr="00AC3647">
        <w:rPr>
          <w:rFonts w:cs="Arial"/>
          <w:b/>
          <w:szCs w:val="19"/>
        </w:rPr>
        <w:t>ante</w:t>
      </w:r>
      <w:proofErr w:type="spellEnd"/>
      <w:r w:rsidRPr="00AC3647">
        <w:rPr>
          <w:rFonts w:cs="Arial"/>
          <w:b/>
          <w:szCs w:val="19"/>
        </w:rPr>
        <w:t xml:space="preserv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ani po druhej výzve poskytovateľa prijímateľ nezabezpečí uspokojivú opravu kontrolovanej dokumentácie, poskytovateľ žiadosť o prvú ex-</w:t>
      </w:r>
      <w:proofErr w:type="spellStart"/>
      <w:r w:rsidR="00CA0961" w:rsidRPr="00CA0961">
        <w:rPr>
          <w:rFonts w:cs="Arial"/>
          <w:szCs w:val="19"/>
        </w:rPr>
        <w:t>ante</w:t>
      </w:r>
      <w:proofErr w:type="spellEnd"/>
      <w:r w:rsidR="00CA0961" w:rsidRPr="00CA0961">
        <w:rPr>
          <w:rFonts w:cs="Arial"/>
          <w:szCs w:val="19"/>
        </w:rPr>
        <w:t xml:space="preserv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w:t>
      </w:r>
      <w:proofErr w:type="spellStart"/>
      <w:r w:rsidR="00CA0961" w:rsidRPr="00CA0961">
        <w:rPr>
          <w:rFonts w:cs="Arial"/>
          <w:szCs w:val="19"/>
        </w:rPr>
        <w:t>ante</w:t>
      </w:r>
      <w:proofErr w:type="spellEnd"/>
      <w:r w:rsidR="00CA0961" w:rsidRPr="00CA0961">
        <w:rPr>
          <w:rFonts w:cs="Arial"/>
          <w:szCs w:val="19"/>
        </w:rPr>
        <w:t xml:space="preserv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lastRenderedPageBreak/>
        <w:t>oprávnený postupovať vo veci určenia ex-</w:t>
      </w:r>
      <w:proofErr w:type="spellStart"/>
      <w:r w:rsidRPr="0073389C">
        <w:t>ante</w:t>
      </w:r>
      <w:proofErr w:type="spellEnd"/>
      <w:r w:rsidRPr="0073389C">
        <w:t xml:space="preserv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w:t>
      </w:r>
      <w:proofErr w:type="spellStart"/>
      <w:r w:rsidRPr="001C44C7">
        <w:t>ante</w:t>
      </w:r>
      <w:proofErr w:type="spellEnd"/>
      <w:r w:rsidRPr="001C44C7">
        <w:t xml:space="preserv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14:paraId="7A55D2B9" w14:textId="6743EB82" w:rsidR="009D7F63" w:rsidRPr="0073389C" w:rsidRDefault="009D7F63" w:rsidP="009D7F63">
      <w:pPr>
        <w:spacing w:before="120" w:after="120" w:line="288" w:lineRule="auto"/>
        <w:jc w:val="both"/>
      </w:pPr>
      <w:r w:rsidRPr="0073389C">
        <w:t>Druhá ex-</w:t>
      </w:r>
      <w:proofErr w:type="spellStart"/>
      <w:r w:rsidRPr="0073389C">
        <w:t>ante</w:t>
      </w:r>
      <w:proofErr w:type="spellEnd"/>
      <w:r w:rsidRPr="0073389C">
        <w:t xml:space="preserv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Súčasne poskytovateľ vykonáva druhú ex-</w:t>
      </w:r>
      <w:proofErr w:type="spellStart"/>
      <w:r w:rsidRPr="0073389C">
        <w:t>ante</w:t>
      </w:r>
      <w:proofErr w:type="spellEnd"/>
      <w:r w:rsidRPr="0073389C">
        <w:t xml:space="preserv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w:t>
      </w:r>
      <w:proofErr w:type="spellStart"/>
      <w:r w:rsidRPr="004E56EC">
        <w:rPr>
          <w:rFonts w:cs="Arial"/>
          <w:szCs w:val="19"/>
        </w:rPr>
        <w:t>ante</w:t>
      </w:r>
      <w:proofErr w:type="spellEnd"/>
      <w:r w:rsidRPr="004E56EC">
        <w:rPr>
          <w:rFonts w:cs="Arial"/>
          <w:szCs w:val="19"/>
        </w:rPr>
        <w:t xml:space="preserv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 xml:space="preserve">Doplnením dokumentácie nemôže </w:t>
      </w:r>
      <w:r w:rsidR="00C20764" w:rsidRPr="00C20764">
        <w:rPr>
          <w:rFonts w:cs="Arial"/>
          <w:szCs w:val="19"/>
        </w:rPr>
        <w:lastRenderedPageBreak/>
        <w:t>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w:t>
      </w:r>
      <w:proofErr w:type="spellStart"/>
      <w:r w:rsidRPr="007B2419">
        <w:t>ante</w:t>
      </w:r>
      <w:proofErr w:type="spellEnd"/>
      <w:r w:rsidRPr="007B2419">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275CCA8F" w:rsidR="007B2419" w:rsidRPr="007B2419" w:rsidRDefault="007B2419" w:rsidP="007B2419">
      <w:pPr>
        <w:spacing w:before="120" w:after="120" w:line="288" w:lineRule="auto"/>
        <w:jc w:val="both"/>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14:paraId="00489163" w14:textId="4AF31F30"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14:paraId="7AFE249B" w14:textId="28E77AF6"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w:t>
      </w:r>
      <w:r w:rsidRPr="007B2419">
        <w:lastRenderedPageBreak/>
        <w:t xml:space="preserve">z kontroly, ktorá obsahuje súhlas s podpísaním zmluvy s úspešným uchádzačom. V prípade, že prijímateľ 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w:t>
      </w:r>
      <w:proofErr w:type="spellStart"/>
      <w:r w:rsidRPr="007B2419">
        <w:t>ŽoP</w:t>
      </w:r>
      <w:proofErr w:type="spellEnd"/>
      <w:r w:rsidRPr="007B2419">
        <w:t>),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sa nevzťahuje na VO, ktoré bolo predmetom druhej ex-</w:t>
      </w:r>
      <w:proofErr w:type="spellStart"/>
      <w:r w:rsidRPr="00703E20">
        <w:rPr>
          <w:rFonts w:ascii="Arial" w:hAnsi="Arial" w:cs="Arial"/>
          <w:color w:val="auto"/>
          <w:sz w:val="19"/>
          <w:szCs w:val="19"/>
          <w:lang w:val="sk-SK"/>
        </w:rPr>
        <w:t>ante</w:t>
      </w:r>
      <w:proofErr w:type="spellEnd"/>
      <w:r w:rsidRPr="00703E20">
        <w:rPr>
          <w:rFonts w:ascii="Arial" w:hAnsi="Arial" w:cs="Arial"/>
          <w:color w:val="auto"/>
          <w:sz w:val="19"/>
          <w:szCs w:val="19"/>
          <w:lang w:val="sk-SK"/>
        </w:rPr>
        <w:t xml:space="preserv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lastRenderedPageBreak/>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2"/>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oznámenia výsledku VO/ informácií zaslaných ÚVO a </w:t>
      </w:r>
      <w:proofErr w:type="spellStart"/>
      <w:r w:rsidRPr="0073389C">
        <w:rPr>
          <w:rFonts w:cs="Arial"/>
          <w:szCs w:val="19"/>
          <w:lang w:val="sk-SK"/>
        </w:rPr>
        <w:t>Ú.v</w:t>
      </w:r>
      <w:proofErr w:type="spellEnd"/>
      <w:r w:rsidRPr="0073389C">
        <w:rPr>
          <w:rFonts w:cs="Arial"/>
          <w:szCs w:val="19"/>
          <w:lang w:val="sk-SK"/>
        </w:rPr>
        <w:t>.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3"/>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w:t>
      </w:r>
      <w:r w:rsidRPr="00E70656">
        <w:rPr>
          <w:rFonts w:cs="Arial"/>
          <w:szCs w:val="19"/>
        </w:rPr>
        <w:lastRenderedPageBreak/>
        <w:t>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4"/>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lastRenderedPageBreak/>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14:paraId="6BBB61FB" w14:textId="64A958BC"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5"/>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xml:space="preserve">. Túto zmluvu predkladá prijímateľ 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6"/>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w:t>
      </w:r>
      <w:r w:rsidRPr="0073389C">
        <w:rPr>
          <w:lang w:eastAsia="x-none"/>
        </w:rPr>
        <w:lastRenderedPageBreak/>
        <w:t xml:space="preserve">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 xml:space="preserve">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Pokiaľ nastala niektorá zo skutočností, ktorá neumožňuje poskytovateľovi 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006B7CFE" w:rsidRPr="006B7CFE" w:rsidDel="006B7CFE">
        <w:rPr>
          <w:lang w:eastAsia="x-none"/>
        </w:rPr>
        <w:t xml:space="preserve"> </w:t>
      </w:r>
      <w:r w:rsidRPr="0073389C">
        <w:rPr>
          <w:lang w:eastAsia="x-none"/>
        </w:rPr>
        <w:t>(napr. prijímateľ podpísal zmluvu s úspešným uchádzačom bez riadneho ukončenia druhej ex-</w:t>
      </w:r>
      <w:proofErr w:type="spellStart"/>
      <w:r w:rsidRPr="0073389C">
        <w:rPr>
          <w:lang w:eastAsia="x-none"/>
        </w:rPr>
        <w:t>ante</w:t>
      </w:r>
      <w:proofErr w:type="spellEnd"/>
      <w:r w:rsidRPr="0073389C">
        <w:rPr>
          <w:lang w:eastAsia="x-none"/>
        </w:rPr>
        <w:t xml:space="preserv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7"/>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lastRenderedPageBreak/>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8"/>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lastRenderedPageBreak/>
        <w:t xml:space="preserve">Rámcové dohody sa podľa § 83 ods. 5 ZVO delia na rámcové dohody bez opätovného otvárania súťaže (tzv. uzavreté rámcové dohody) a s opätovným otváraním súťaže (tzv. otvorené rámcové dohody). </w:t>
      </w:r>
    </w:p>
    <w:p w14:paraId="7BB51B0A" w14:textId="77777777" w:rsidR="008F2958" w:rsidRPr="008F2958" w:rsidRDefault="008F2958" w:rsidP="008F2958">
      <w:pPr>
        <w:tabs>
          <w:tab w:val="left" w:pos="1014"/>
        </w:tabs>
        <w:spacing w:before="120" w:after="120" w:line="288" w:lineRule="auto"/>
        <w:jc w:val="both"/>
      </w:pPr>
      <w:r w:rsidRPr="008F2958">
        <w:t xml:space="preserve">Prijímateľ predkladá čiastkové zmluvy uzavreté na základe rámcovej dohody realizovanej podľa zákona č. 25/2006 </w:t>
      </w:r>
      <w:proofErr w:type="spellStart"/>
      <w:r w:rsidRPr="008F2958">
        <w:t>Z.z</w:t>
      </w:r>
      <w:proofErr w:type="spellEnd"/>
      <w:r w:rsidRPr="008F2958">
        <w:t xml:space="preserve">. na kontrolu podľa Príručky pre verejné obstarávanie verzie 1.4. Čiastkové zmluvy uzavreté na základe rámcovej dohody realizovanej podľa zákona č. 343/2015 </w:t>
      </w:r>
      <w:proofErr w:type="spellStart"/>
      <w:r w:rsidRPr="008F2958">
        <w:t>Z.z</w:t>
      </w:r>
      <w:proofErr w:type="spellEnd"/>
      <w:r w:rsidRPr="008F2958">
        <w:t>. predkladá prijímateľ na kontrolu podľa Príručky pre verejné obstarávanie verzie 1.5. a nasledovných.</w:t>
      </w:r>
    </w:p>
    <w:p w14:paraId="6DDB5953" w14:textId="0E342AE8" w:rsidR="008F2958" w:rsidRPr="008F2958" w:rsidRDefault="008F2958" w:rsidP="00151D4D">
      <w:pPr>
        <w:numPr>
          <w:ilvl w:val="0"/>
          <w:numId w:val="102"/>
        </w:numPr>
        <w:tabs>
          <w:tab w:val="left" w:pos="1014"/>
        </w:tabs>
        <w:spacing w:line="288" w:lineRule="auto"/>
        <w:jc w:val="both"/>
      </w:pPr>
      <w:r w:rsidRPr="008F2958">
        <w:t>Poskytovateľ vykonáva kontrolu čiastkových zmlúv ako:</w:t>
      </w:r>
      <w:r>
        <w:t xml:space="preserve"> </w:t>
      </w:r>
      <w:r w:rsidRPr="008F2958">
        <w:t>druhú ex-</w:t>
      </w:r>
      <w:proofErr w:type="spellStart"/>
      <w:r w:rsidRPr="008F2958">
        <w:t>ante</w:t>
      </w:r>
      <w:proofErr w:type="spellEnd"/>
      <w:r w:rsidRPr="008F2958">
        <w:t xml:space="preserve"> kontrolu,</w:t>
      </w:r>
    </w:p>
    <w:p w14:paraId="12FEA763" w14:textId="77777777" w:rsidR="008F2958" w:rsidRPr="008F2958" w:rsidRDefault="008F2958" w:rsidP="00151D4D">
      <w:pPr>
        <w:numPr>
          <w:ilvl w:val="0"/>
          <w:numId w:val="102"/>
        </w:numPr>
        <w:tabs>
          <w:tab w:val="left" w:pos="1014"/>
        </w:tabs>
        <w:spacing w:line="288" w:lineRule="auto"/>
        <w:jc w:val="both"/>
      </w:pPr>
      <w:r w:rsidRPr="008F2958">
        <w:t>následnú ex-post kontrolu alebo</w:t>
      </w:r>
    </w:p>
    <w:p w14:paraId="4E683989" w14:textId="77777777" w:rsidR="008F2958" w:rsidRPr="008F2958" w:rsidRDefault="008F2958" w:rsidP="00151D4D">
      <w:pPr>
        <w:numPr>
          <w:ilvl w:val="0"/>
          <w:numId w:val="102"/>
        </w:numPr>
        <w:tabs>
          <w:tab w:val="left" w:pos="1014"/>
        </w:tabs>
        <w:spacing w:line="288" w:lineRule="auto"/>
        <w:jc w:val="both"/>
      </w:pPr>
      <w:r w:rsidRPr="008F2958">
        <w:t>štandardnú ex-post kontrolu.</w:t>
      </w:r>
    </w:p>
    <w:p w14:paraId="2DE2853F" w14:textId="77777777" w:rsidR="008F2958" w:rsidRDefault="008F2958" w:rsidP="007D11DA">
      <w:pPr>
        <w:tabs>
          <w:tab w:val="left" w:pos="1014"/>
        </w:tabs>
        <w:spacing w:before="120" w:after="120" w:line="288" w:lineRule="auto"/>
        <w:jc w:val="both"/>
      </w:pP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151D4D">
      <w:pPr>
        <w:pStyle w:val="Odsekzoznamu"/>
        <w:numPr>
          <w:ilvl w:val="0"/>
          <w:numId w:val="90"/>
        </w:numPr>
        <w:spacing w:before="120" w:after="120" w:line="288" w:lineRule="auto"/>
        <w:jc w:val="both"/>
        <w:rPr>
          <w:b/>
        </w:rPr>
      </w:pPr>
      <w:r w:rsidRPr="00697E52">
        <w:rPr>
          <w:b/>
        </w:rPr>
        <w:t>Uzavreté rámcové dohody</w:t>
      </w:r>
    </w:p>
    <w:p w14:paraId="388CBB57" w14:textId="77777777" w:rsidR="007D11DA" w:rsidRDefault="007D11DA" w:rsidP="007D11DA">
      <w:pPr>
        <w:tabs>
          <w:tab w:val="left" w:pos="1014"/>
        </w:tabs>
        <w:spacing w:before="120" w:after="120" w:line="288" w:lineRule="auto"/>
        <w:jc w:val="both"/>
        <w:rPr>
          <w:b/>
        </w:rPr>
      </w:pPr>
    </w:p>
    <w:p w14:paraId="09FBC33D" w14:textId="4FBE22B3"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w:t>
      </w:r>
      <w:proofErr w:type="spellStart"/>
      <w:r w:rsidR="008F2958">
        <w:t>ante</w:t>
      </w:r>
      <w:proofErr w:type="spellEnd"/>
      <w:r w:rsidR="008F2958">
        <w:t xml:space="preserv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lastRenderedPageBreak/>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9A73D59" w14:textId="77777777" w:rsidR="007D11DA" w:rsidRDefault="007D11DA" w:rsidP="007D11DA">
      <w:pPr>
        <w:tabs>
          <w:tab w:val="left" w:pos="1014"/>
        </w:tabs>
        <w:spacing w:before="120" w:after="120" w:line="288" w:lineRule="auto"/>
        <w:jc w:val="both"/>
      </w:pPr>
    </w:p>
    <w:p w14:paraId="7FE9586B" w14:textId="4C461746"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14:paraId="35F1FFF3" w14:textId="77777777" w:rsidR="007D11DA" w:rsidRDefault="007D11DA" w:rsidP="007D11DA">
      <w:pPr>
        <w:tabs>
          <w:tab w:val="left" w:pos="1014"/>
        </w:tabs>
        <w:spacing w:before="120" w:after="120" w:line="288" w:lineRule="auto"/>
        <w:jc w:val="both"/>
      </w:pP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4B4F0268" w14:textId="77777777" w:rsidR="007D11DA" w:rsidRDefault="007D11DA" w:rsidP="007D11DA">
      <w:pPr>
        <w:tabs>
          <w:tab w:val="left" w:pos="1014"/>
        </w:tabs>
        <w:spacing w:before="120" w:after="120" w:line="288" w:lineRule="auto"/>
        <w:jc w:val="both"/>
      </w:pP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7D11DA">
      <w:pPr>
        <w:tabs>
          <w:tab w:val="left" w:pos="1014"/>
        </w:tabs>
        <w:spacing w:before="120" w:after="120" w:line="288" w:lineRule="auto"/>
        <w:jc w:val="both"/>
      </w:pPr>
      <w:r w:rsidRPr="00164E19">
        <w:rPr>
          <w:b/>
        </w:rPr>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lastRenderedPageBreak/>
        <w:t xml:space="preserve">Poskytovateľ kontroluje postup zadávania čiastkových zákaziek z rámcovej dohody na základe dokumentácie predloženej prijímateľom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14:paraId="419AABE6" w14:textId="77777777" w:rsidR="007D11DA" w:rsidRDefault="007D11DA" w:rsidP="007D11DA">
      <w:pPr>
        <w:tabs>
          <w:tab w:val="left" w:pos="1014"/>
        </w:tabs>
        <w:spacing w:before="120" w:after="120" w:line="288" w:lineRule="auto"/>
        <w:jc w:val="both"/>
      </w:pP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lastRenderedPageBreak/>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Prijímateľ je povinný poskytovateľovi predložiť na druhú ex-</w:t>
      </w:r>
      <w:proofErr w:type="spellStart"/>
      <w:r w:rsidRPr="00EF596F">
        <w:rPr>
          <w:rFonts w:cs="Arial"/>
          <w:szCs w:val="19"/>
        </w:rPr>
        <w:t>ante</w:t>
      </w:r>
      <w:proofErr w:type="spellEnd"/>
      <w:r w:rsidRPr="00EF596F">
        <w:rPr>
          <w:rFonts w:cs="Arial"/>
          <w:szCs w:val="19"/>
        </w:rPr>
        <w:t xml:space="preserv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Podkladom pre ukončenie druhej ex-</w:t>
      </w:r>
      <w:proofErr w:type="spellStart"/>
      <w:r w:rsidRPr="00EF596F">
        <w:rPr>
          <w:rFonts w:cs="Arial"/>
          <w:szCs w:val="19"/>
        </w:rPr>
        <w:t>ante</w:t>
      </w:r>
      <w:proofErr w:type="spellEnd"/>
      <w:r w:rsidRPr="00EF596F">
        <w:rPr>
          <w:rFonts w:cs="Arial"/>
          <w:szCs w:val="19"/>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w:t>
      </w:r>
      <w:proofErr w:type="spellStart"/>
      <w:r w:rsidRPr="00EF596F">
        <w:rPr>
          <w:rFonts w:cs="Arial"/>
          <w:szCs w:val="19"/>
        </w:rPr>
        <w:t>ante</w:t>
      </w:r>
      <w:proofErr w:type="spellEnd"/>
      <w:r w:rsidRPr="00EF596F">
        <w:rPr>
          <w:rFonts w:cs="Arial"/>
          <w:szCs w:val="19"/>
        </w:rPr>
        <w:t xml:space="preserv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Následnej ex-post kontrole podliehajú centrálne VO, v rámci ktorých bola riadne ukončená druhá ex-</w:t>
      </w:r>
      <w:proofErr w:type="spellStart"/>
      <w:r w:rsidRPr="00EF596F">
        <w:rPr>
          <w:rFonts w:cs="Arial"/>
          <w:szCs w:val="19"/>
        </w:rPr>
        <w:t>ante</w:t>
      </w:r>
      <w:proofErr w:type="spellEnd"/>
      <w:r w:rsidRPr="00EF596F">
        <w:rPr>
          <w:rFonts w:cs="Arial"/>
          <w:szCs w:val="19"/>
        </w:rPr>
        <w:t xml:space="preserv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w:t>
      </w:r>
      <w:proofErr w:type="spellStart"/>
      <w:r w:rsidR="00963E0D" w:rsidRPr="00963E0D">
        <w:rPr>
          <w:rFonts w:cs="Arial"/>
          <w:b/>
          <w:szCs w:val="19"/>
        </w:rPr>
        <w:t>ŽoNFP</w:t>
      </w:r>
      <w:proofErr w:type="spellEnd"/>
      <w:r w:rsidR="00963E0D" w:rsidRPr="00963E0D">
        <w:rPr>
          <w:rFonts w:cs="Arial"/>
          <w:b/>
          <w:szCs w:val="19"/>
        </w:rPr>
        <w:t xml:space="preserve"> </w:t>
      </w:r>
      <w:r w:rsidR="00963E0D" w:rsidRPr="00963E0D">
        <w:rPr>
          <w:rFonts w:cs="Arial"/>
          <w:szCs w:val="19"/>
        </w:rPr>
        <w:t xml:space="preserve"> </w:t>
      </w:r>
      <w:r w:rsidR="00963E0D"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w:t>
      </w:r>
      <w:proofErr w:type="spellStart"/>
      <w:r w:rsidRPr="00963E0D">
        <w:rPr>
          <w:rFonts w:cs="Arial"/>
          <w:szCs w:val="19"/>
        </w:rPr>
        <w:t>ŽoNFP</w:t>
      </w:r>
      <w:proofErr w:type="spellEnd"/>
      <w:r w:rsidRPr="00963E0D">
        <w:rPr>
          <w:rFonts w:cs="Arial"/>
          <w:szCs w:val="19"/>
        </w:rPr>
        <w:t xml:space="preserve">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w:t>
      </w:r>
      <w:proofErr w:type="spellStart"/>
      <w:r w:rsidRPr="00963E0D">
        <w:rPr>
          <w:rFonts w:cs="Arial"/>
          <w:szCs w:val="19"/>
        </w:rPr>
        <w:t>ŽoNFP</w:t>
      </w:r>
      <w:proofErr w:type="spellEnd"/>
      <w:r w:rsidRPr="00963E0D">
        <w:rPr>
          <w:rFonts w:cs="Arial"/>
          <w:szCs w:val="19"/>
        </w:rPr>
        <w:t xml:space="preserve">. Výstupom kontroly VO nie je v tomto prípade správa z kontroly, ale rozhodnutie o schválení alebo neschválení </w:t>
      </w:r>
      <w:proofErr w:type="spellStart"/>
      <w:r w:rsidRPr="00963E0D">
        <w:rPr>
          <w:rFonts w:cs="Arial"/>
          <w:szCs w:val="19"/>
        </w:rPr>
        <w:t>ŽoNFP</w:t>
      </w:r>
      <w:proofErr w:type="spellEnd"/>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w:t>
      </w:r>
      <w:proofErr w:type="spellStart"/>
      <w:r w:rsidRPr="00963E0D">
        <w:rPr>
          <w:rFonts w:cs="Arial"/>
          <w:szCs w:val="19"/>
        </w:rPr>
        <w:t>ŽoP</w:t>
      </w:r>
      <w:proofErr w:type="spellEnd"/>
      <w:r w:rsidRPr="00963E0D">
        <w:rPr>
          <w:rFonts w:cs="Arial"/>
          <w:szCs w:val="19"/>
        </w:rPr>
        <w:t xml:space="preserve">,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w:t>
      </w:r>
      <w:proofErr w:type="spellStart"/>
      <w:r w:rsidRPr="00963E0D">
        <w:rPr>
          <w:rFonts w:cs="Arial"/>
          <w:szCs w:val="19"/>
        </w:rPr>
        <w:t>ŽoNFP</w:t>
      </w:r>
      <w:proofErr w:type="spellEnd"/>
      <w:r w:rsidRPr="00963E0D">
        <w:rPr>
          <w:rFonts w:cs="Arial"/>
          <w:szCs w:val="19"/>
        </w:rPr>
        <w:t xml:space="preserve">,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 xml:space="preserve">O neschválení </w:t>
      </w:r>
      <w:proofErr w:type="spellStart"/>
      <w:r w:rsidRPr="00FB16C6">
        <w:rPr>
          <w:rFonts w:cs="Arial"/>
          <w:szCs w:val="19"/>
        </w:rPr>
        <w:t>ŽoNFP</w:t>
      </w:r>
      <w:proofErr w:type="spellEnd"/>
      <w:r w:rsidRPr="00FB16C6">
        <w:rPr>
          <w:rFonts w:cs="Arial"/>
          <w:szCs w:val="19"/>
        </w:rPr>
        <w:t xml:space="preserve">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w:t>
      </w:r>
      <w:proofErr w:type="spellStart"/>
      <w:r w:rsidRPr="00963E0D">
        <w:rPr>
          <w:rFonts w:cs="Arial"/>
          <w:szCs w:val="19"/>
        </w:rPr>
        <w:t>ante</w:t>
      </w:r>
      <w:proofErr w:type="spellEnd"/>
      <w:r w:rsidRPr="00963E0D">
        <w:rPr>
          <w:rFonts w:cs="Arial"/>
          <w:szCs w:val="19"/>
        </w:rPr>
        <w:t xml:space="preserve"> kontrolu, druhú ex-</w:t>
      </w:r>
      <w:proofErr w:type="spellStart"/>
      <w:r w:rsidRPr="00963E0D">
        <w:rPr>
          <w:rFonts w:cs="Arial"/>
          <w:szCs w:val="19"/>
        </w:rPr>
        <w:t>ante</w:t>
      </w:r>
      <w:proofErr w:type="spellEnd"/>
      <w:r w:rsidRPr="00963E0D">
        <w:rPr>
          <w:rFonts w:cs="Arial"/>
          <w:szCs w:val="19"/>
        </w:rPr>
        <w:t xml:space="preserv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w:t>
      </w:r>
      <w:proofErr w:type="spellStart"/>
      <w:r w:rsidRPr="005C056B">
        <w:rPr>
          <w:rFonts w:cs="Arial"/>
          <w:szCs w:val="19"/>
        </w:rPr>
        <w:t>ŽoP</w:t>
      </w:r>
      <w:proofErr w:type="spellEnd"/>
      <w:r w:rsidRPr="005C056B">
        <w:rPr>
          <w:rFonts w:cs="Arial"/>
          <w:szCs w:val="19"/>
        </w:rPr>
        <w:t xml:space="preserve">,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3FC3AF08"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7777777"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w:t>
      </w:r>
      <w:proofErr w:type="spellStart"/>
      <w:r w:rsidRPr="00EC5388">
        <w:rPr>
          <w:rFonts w:cs="Arial"/>
          <w:szCs w:val="19"/>
        </w:rPr>
        <w:t>ante</w:t>
      </w:r>
      <w:proofErr w:type="spellEnd"/>
      <w:r w:rsidRPr="00EC5388">
        <w:rPr>
          <w:rFonts w:cs="Arial"/>
          <w:szCs w:val="19"/>
        </w:rPr>
        <w:t>;</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proofErr w:type="spellStart"/>
      <w:r w:rsidRPr="00AE218A">
        <w:rPr>
          <w:rFonts w:cs="Arial"/>
          <w:szCs w:val="19"/>
        </w:rPr>
        <w:t>ante</w:t>
      </w:r>
      <w:proofErr w:type="spellEnd"/>
      <w:r w:rsidRPr="00AE218A">
        <w:rPr>
          <w:rFonts w:cs="Arial"/>
          <w:szCs w:val="19"/>
        </w:rPr>
        <w:t xml:space="preserv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proofErr w:type="spellStart"/>
      <w:r w:rsidRPr="00AE218A">
        <w:rPr>
          <w:rFonts w:cs="Arial"/>
          <w:szCs w:val="19"/>
        </w:rPr>
        <w:t>ante</w:t>
      </w:r>
      <w:proofErr w:type="spellEnd"/>
      <w:r w:rsidRPr="00AE218A">
        <w:rPr>
          <w:rFonts w:cs="Arial"/>
          <w:szCs w:val="19"/>
        </w:rPr>
        <w:t xml:space="preserv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 Prijímateľ je povinný v prípade akceptovania ex-</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xml:space="preserve">,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w:t>
      </w:r>
      <w:proofErr w:type="spellStart"/>
      <w:r w:rsidR="00BE69D2" w:rsidRPr="00BE69D2">
        <w:t>t.j</w:t>
      </w:r>
      <w:proofErr w:type="spellEnd"/>
      <w:r w:rsidR="00BE69D2" w:rsidRPr="00BE69D2">
        <w:t>.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99"/>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w:t>
      </w:r>
      <w:r w:rsidRPr="004B129C">
        <w:rPr>
          <w:rFonts w:cs="Arial"/>
          <w:szCs w:val="19"/>
        </w:rPr>
        <w:lastRenderedPageBreak/>
        <w:t xml:space="preserve">podkladu i k spôsobu jeho zistenia, prípadne navrhnúť jeho doplnenie“. Po doručení vyjadrenia prijímateľa resp. jeho nedoručení v stanovenej lehote, vypracuje poskytovateľ Rozhodnutie v zmysle § 46 a </w:t>
      </w:r>
      <w:proofErr w:type="spellStart"/>
      <w:r w:rsidRPr="004B129C">
        <w:rPr>
          <w:rFonts w:cs="Arial"/>
          <w:szCs w:val="19"/>
        </w:rPr>
        <w:t>nasl</w:t>
      </w:r>
      <w:proofErr w:type="spellEnd"/>
      <w:r w:rsidRPr="004B129C">
        <w:rPr>
          <w:rFonts w:cs="Arial"/>
          <w:szCs w:val="19"/>
        </w:rPr>
        <w:t xml:space="preserve">.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proofErr w:type="spellStart"/>
      <w:r w:rsidRPr="00AE02EE">
        <w:rPr>
          <w:rFonts w:cs="Arial"/>
          <w:szCs w:val="19"/>
        </w:rPr>
        <w:t>ante</w:t>
      </w:r>
      <w:proofErr w:type="spellEnd"/>
      <w:r w:rsidRPr="00AE02EE">
        <w:rPr>
          <w:rFonts w:cs="Arial"/>
          <w:szCs w:val="19"/>
        </w:rPr>
        <w:t xml:space="preserve"> kontrola, druhá ex-</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proofErr w:type="spellStart"/>
      <w:r w:rsidRPr="00AE02EE">
        <w:rPr>
          <w:rFonts w:cs="Arial"/>
          <w:szCs w:val="19"/>
        </w:rPr>
        <w:t>ante</w:t>
      </w:r>
      <w:proofErr w:type="spellEnd"/>
      <w:r w:rsidRPr="00AE02EE">
        <w:rPr>
          <w:rFonts w:cs="Arial"/>
          <w:szCs w:val="19"/>
        </w:rPr>
        <w:t xml:space="preserv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07E96980"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w:t>
      </w:r>
      <w:r w:rsidRPr="0073389C">
        <w:rPr>
          <w:rFonts w:cs="Arial"/>
          <w:szCs w:val="19"/>
        </w:rPr>
        <w:lastRenderedPageBreak/>
        <w:t xml:space="preserve">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2330F4F4"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lastRenderedPageBreak/>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 služieb a prác zo strany úspešného uchádzača, ktorým preukáže splnenie požiadaviek na predmet zákazky. Uvedený opis (</w:t>
      </w:r>
      <w:proofErr w:type="spellStart"/>
      <w:r w:rsidRPr="00927D81">
        <w:rPr>
          <w:rFonts w:cs="Arial"/>
          <w:szCs w:val="19"/>
        </w:rPr>
        <w:t>položkovitý</w:t>
      </w:r>
      <w:proofErr w:type="spellEnd"/>
      <w:r w:rsidRPr="00927D81">
        <w:rPr>
          <w:rFonts w:cs="Arial"/>
          <w:szCs w:val="19"/>
        </w:rPr>
        <w:t xml:space="preserve">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w:t>
      </w:r>
      <w:proofErr w:type="spellStart"/>
      <w:r w:rsidRPr="00672FF6">
        <w:rPr>
          <w:rFonts w:cs="Arial"/>
          <w:szCs w:val="19"/>
        </w:rPr>
        <w:t>t.j</w:t>
      </w:r>
      <w:proofErr w:type="spellEnd"/>
      <w:r w:rsidRPr="00672FF6">
        <w:rPr>
          <w:rFonts w:cs="Arial"/>
          <w:szCs w:val="19"/>
        </w:rPr>
        <w:t xml:space="preserve">.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w:t>
      </w:r>
      <w:proofErr w:type="spellStart"/>
      <w:r w:rsidRPr="0073389C">
        <w:rPr>
          <w:rFonts w:cs="Arial"/>
          <w:szCs w:val="19"/>
        </w:rPr>
        <w:t>ante</w:t>
      </w:r>
      <w:proofErr w:type="spellEnd"/>
      <w:r w:rsidRPr="0073389C">
        <w:rPr>
          <w:rFonts w:cs="Arial"/>
          <w:szCs w:val="19"/>
        </w:rPr>
        <w:t xml:space="preserv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lastRenderedPageBreak/>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ex-</w:t>
      </w:r>
      <w:proofErr w:type="spellStart"/>
      <w:r w:rsidR="00D519DF">
        <w:rPr>
          <w:rFonts w:cs="Arial"/>
          <w:szCs w:val="19"/>
        </w:rPr>
        <w:t>ante</w:t>
      </w:r>
      <w:proofErr w:type="spellEnd"/>
      <w:r w:rsidR="00D519DF">
        <w:rPr>
          <w:rFonts w:cs="Arial"/>
          <w:szCs w:val="19"/>
        </w:rPr>
        <w:t xml:space="preserv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5A1D7B2E"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w:t>
      </w:r>
      <w:proofErr w:type="spellStart"/>
      <w:r w:rsidRPr="00A57E12">
        <w:rPr>
          <w:rFonts w:cs="Arial"/>
          <w:szCs w:val="19"/>
        </w:rPr>
        <w:t>ŽoNFP</w:t>
      </w:r>
      <w:proofErr w:type="spellEnd"/>
      <w:r w:rsidRPr="00A57E12">
        <w:rPr>
          <w:rFonts w:cs="Arial"/>
          <w:szCs w:val="19"/>
        </w:rPr>
        <w:t xml:space="preserve">.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 xml:space="preserve">Zároveň, ak napriek čestnému vyhláseniu prijímateľa poskytovateľ identifikuje, že dokumentácia nie je kompletná a pre riadne ukončenie </w:t>
      </w:r>
      <w:r w:rsidRPr="00703E20">
        <w:rPr>
          <w:rFonts w:cs="Arial"/>
          <w:szCs w:val="19"/>
          <w:lang w:eastAsia="x-none"/>
        </w:rPr>
        <w:lastRenderedPageBreak/>
        <w:t>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380B6B9A"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7E773D2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w:t>
      </w:r>
      <w:proofErr w:type="spellStart"/>
      <w:r w:rsidRPr="0073389C">
        <w:t>t.j</w:t>
      </w:r>
      <w:proofErr w:type="spellEnd"/>
      <w:r w:rsidRPr="0073389C">
        <w:t xml:space="preserve">.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7"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žiadostí o súťažné podklady, </w:t>
      </w:r>
      <w:proofErr w:type="spellStart"/>
      <w:r w:rsidRPr="00A57E12">
        <w:t>t.j</w:t>
      </w:r>
      <w:proofErr w:type="spellEnd"/>
      <w:r w:rsidRPr="00A57E12">
        <w:t>.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w:t>
      </w:r>
      <w:r w:rsidRPr="0073389C">
        <w:lastRenderedPageBreak/>
        <w:t xml:space="preserve">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73389C">
        <w:t>.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F2C9E3F"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w:t>
      </w:r>
      <w:proofErr w:type="spellStart"/>
      <w:r w:rsidR="00D642ED" w:rsidRPr="00D642ED">
        <w:t>ante</w:t>
      </w:r>
      <w:proofErr w:type="spellEnd"/>
      <w:r w:rsidR="00D642ED" w:rsidRPr="00D642ED">
        <w:t xml:space="preserv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lastRenderedPageBreak/>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resp. na webovom sídle prijímateľa (uvedené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w:t>
      </w:r>
      <w:proofErr w:type="spellStart"/>
      <w:r w:rsidRPr="00D642ED">
        <w:t>ante</w:t>
      </w:r>
      <w:proofErr w:type="spellEnd"/>
      <w:r w:rsidRPr="00D642ED">
        <w:t xml:space="preserv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w:t>
      </w:r>
      <w:proofErr w:type="spellStart"/>
      <w:r w:rsidRPr="00D642ED">
        <w:t>štandartnú</w:t>
      </w:r>
      <w:proofErr w:type="spellEnd"/>
      <w:r w:rsidRPr="00D642ED">
        <w:t xml:space="preserve"> ex-post kontrolu poskytovateľovi najneskôr do 30 dní odo dňa podpisu tejto zmluvy oboma zmluvnými stranami. V prípade zmluvných vzťahov, ktoré už existovali pred momentom účinnosti zmluvy o NFP (resp. Rozhodnutia o schválení </w:t>
      </w:r>
      <w:proofErr w:type="spellStart"/>
      <w:r w:rsidRPr="00D642ED">
        <w:t>ŽoNFP</w:t>
      </w:r>
      <w:proofErr w:type="spellEnd"/>
      <w:r w:rsidRPr="00D642ED">
        <w:t>),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w:t>
      </w:r>
      <w:proofErr w:type="spellStart"/>
      <w:r w:rsidRPr="0073389C">
        <w:t>ante</w:t>
      </w:r>
      <w:proofErr w:type="spellEnd"/>
      <w:r w:rsidRPr="0073389C">
        <w:t xml:space="preserv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lastRenderedPageBreak/>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w:t>
      </w:r>
      <w:r w:rsidRPr="0073389C">
        <w:rPr>
          <w:color w:val="000000"/>
        </w:rPr>
        <w:lastRenderedPageBreak/>
        <w:t xml:space="preserve">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Upozorňujeme prijímateľa, že posudzovanie konfliktu záujmov bude v rámci kontroly VO spojené s procesom určovania finančných opráv, resp. s dôsledkom vylúčenia dotknutého VO z financovania v plnom </w:t>
      </w:r>
      <w:r w:rsidRPr="0073389C">
        <w:rPr>
          <w:color w:val="000000"/>
        </w:rPr>
        <w:lastRenderedPageBreak/>
        <w:t>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0"/>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1"/>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2"/>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3"/>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w:t>
            </w:r>
            <w:r w:rsidRPr="0073389C">
              <w:lastRenderedPageBreak/>
              <w:t xml:space="preserve">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indikuje možnosť, že dodávateľ odmieta zaplatiť </w:t>
            </w:r>
            <w:r w:rsidRPr="0073389C">
              <w:lastRenderedPageBreak/>
              <w:t>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lastRenderedPageBreak/>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4"/>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w:t>
      </w:r>
      <w:r w:rsidRPr="0073389C">
        <w:lastRenderedPageBreak/>
        <w:t xml:space="preserve">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proofErr w:type="spellStart"/>
      <w:r w:rsidRPr="0073389C">
        <w:t>preukázateľnosti</w:t>
      </w:r>
      <w:proofErr w:type="spellEnd"/>
      <w:r w:rsidRPr="0073389C">
        <w:t xml:space="preserve"> reálneho vyplatenia výdavku </w:t>
      </w:r>
      <w:proofErr w:type="spellStart"/>
      <w:r w:rsidRPr="0073389C">
        <w:t>prijímateľom</w:t>
      </w:r>
      <w:proofErr w:type="spellEnd"/>
      <w:r w:rsidRPr="0073389C">
        <w:t xml:space="preserve"> (napr. potvrdenie výdavkovými </w:t>
      </w:r>
      <w:proofErr w:type="spellStart"/>
      <w:r w:rsidRPr="0073389C">
        <w:t>pokladničnými</w:t>
      </w:r>
      <w:proofErr w:type="spellEnd"/>
      <w:r w:rsidRPr="0073389C">
        <w:t xml:space="preserve"> blokmi, výpismi z bankového </w:t>
      </w:r>
      <w:proofErr w:type="spellStart"/>
      <w:r w:rsidRPr="0073389C">
        <w:t>účtu</w:t>
      </w:r>
      <w:proofErr w:type="spellEnd"/>
      <w:r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proofErr w:type="spellStart"/>
      <w:r w:rsidRPr="0073389C">
        <w:t>výpočtu</w:t>
      </w:r>
      <w:proofErr w:type="spellEnd"/>
      <w:r w:rsidRPr="0073389C">
        <w:t xml:space="preserve"> paušálnej sadzby s</w:t>
      </w:r>
      <w:r w:rsidR="00601351">
        <w:t xml:space="preserve"> </w:t>
      </w:r>
      <w:r w:rsidRPr="0073389C">
        <w:t xml:space="preserve">pravidlami </w:t>
      </w:r>
      <w:proofErr w:type="spellStart"/>
      <w:r w:rsidRPr="0073389C">
        <w:t>výpočtu</w:t>
      </w:r>
      <w:proofErr w:type="spellEnd"/>
      <w:r w:rsidRPr="0073389C">
        <w:t xml:space="preserve">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proofErr w:type="spellStart"/>
      <w:r w:rsidRPr="0073389C">
        <w:t>cieľmi</w:t>
      </w:r>
      <w:proofErr w:type="spellEnd"/>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proofErr w:type="spellStart"/>
      <w:r w:rsidRPr="0073389C">
        <w:t>merateľných</w:t>
      </w:r>
      <w:proofErr w:type="spellEnd"/>
      <w:r w:rsidRPr="0073389C">
        <w:t xml:space="preserve"> </w:t>
      </w:r>
      <w:proofErr w:type="spellStart"/>
      <w:r w:rsidRPr="0073389C">
        <w:t>ukazovateľov</w:t>
      </w:r>
      <w:proofErr w:type="spellEnd"/>
      <w:r w:rsidRPr="0073389C">
        <w:t xml:space="preserve">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proofErr w:type="spellStart"/>
      <w:r w:rsidRPr="0073389C">
        <w:t>prijímateľa</w:t>
      </w:r>
      <w:proofErr w:type="spellEnd"/>
      <w:r w:rsidRPr="0073389C">
        <w:t xml:space="preserve"> v rámci aj mimo daného OP, iných OP a iných programov EÚ, iných </w:t>
      </w:r>
      <w:proofErr w:type="spellStart"/>
      <w:r w:rsidRPr="0073389C">
        <w:t>finančných</w:t>
      </w:r>
      <w:proofErr w:type="spellEnd"/>
      <w:r w:rsidRPr="0073389C">
        <w:t xml:space="preserve">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proofErr w:type="spellStart"/>
      <w:r w:rsidRPr="0073389C">
        <w:t>prijímateľom</w:t>
      </w:r>
      <w:proofErr w:type="spellEnd"/>
      <w:r w:rsidRPr="0073389C">
        <w:t xml:space="preserve"> na odstránenie nedostatkov zistených pri inej kontrole alebo audite vykonaných do </w:t>
      </w:r>
      <w:proofErr w:type="spellStart"/>
      <w:r w:rsidRPr="0073389C">
        <w:t>času</w:t>
      </w:r>
      <w:proofErr w:type="spellEnd"/>
      <w:r w:rsidRPr="0073389C">
        <w:t xml:space="preserve"> </w:t>
      </w:r>
      <w:proofErr w:type="spellStart"/>
      <w:r w:rsidRPr="0073389C">
        <w:t>ukončenia</w:t>
      </w:r>
      <w:proofErr w:type="spellEnd"/>
      <w:r w:rsidRPr="0073389C">
        <w:t xml:space="preserve">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proofErr w:type="spellStart"/>
      <w:r w:rsidRPr="0073389C">
        <w:t>finančnej</w:t>
      </w:r>
      <w:proofErr w:type="spellEnd"/>
      <w:r w:rsidRPr="0073389C">
        <w:t xml:space="preserve">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proofErr w:type="spellStart"/>
      <w:r w:rsidRPr="0073389C">
        <w:t>skutočností</w:t>
      </w:r>
      <w:proofErr w:type="spellEnd"/>
      <w:r w:rsidRPr="0073389C">
        <w:t xml:space="preserve">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proofErr w:type="spellStart"/>
      <w:r w:rsidRPr="0073389C">
        <w:t>prijímateľa</w:t>
      </w:r>
      <w:proofErr w:type="spellEnd"/>
      <w:r w:rsidRPr="0073389C">
        <w:t xml:space="preserve"> deklarované v </w:t>
      </w:r>
      <w:proofErr w:type="spellStart"/>
      <w:r w:rsidRPr="0073389C">
        <w:t>ŽoP</w:t>
      </w:r>
      <w:proofErr w:type="spellEnd"/>
      <w:r w:rsidRPr="0073389C">
        <w:t xml:space="preserve"> musia </w:t>
      </w:r>
      <w:proofErr w:type="spellStart"/>
      <w:r w:rsidRPr="0073389C">
        <w:t>spĺňat</w:t>
      </w:r>
      <w:proofErr w:type="spellEnd"/>
      <w:r w:rsidRPr="0073389C">
        <w:t xml:space="preserve">̌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proofErr w:type="spellStart"/>
      <w:r w:rsidRPr="0073389C">
        <w:t>rozpočtových</w:t>
      </w:r>
      <w:proofErr w:type="spellEnd"/>
      <w:r w:rsidRPr="0073389C">
        <w:t xml:space="preserve">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proofErr w:type="spellStart"/>
      <w:r w:rsidRPr="0073389C">
        <w:t>neoddeliteľnú</w:t>
      </w:r>
      <w:proofErr w:type="spellEnd"/>
      <w:r w:rsidRPr="0073389C">
        <w:t xml:space="preserve"> </w:t>
      </w:r>
      <w:proofErr w:type="spellStart"/>
      <w:r w:rsidRPr="0073389C">
        <w:t>súčast</w:t>
      </w:r>
      <w:proofErr w:type="spellEnd"/>
      <w:r w:rsidRPr="0073389C">
        <w:t xml:space="preserve">̌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proofErr w:type="spellStart"/>
      <w:r w:rsidRPr="0073389C">
        <w:t>časovej</w:t>
      </w:r>
      <w:proofErr w:type="spellEnd"/>
      <w:r w:rsidRPr="0073389C">
        <w:t xml:space="preserve"> následnosti aktivít projektu, sú plne v súlade s </w:t>
      </w:r>
      <w:proofErr w:type="spellStart"/>
      <w:r w:rsidRPr="0073389C">
        <w:t>cieľmi</w:t>
      </w:r>
      <w:proofErr w:type="spellEnd"/>
      <w:r w:rsidRPr="0073389C">
        <w:t xml:space="preserve"> projektu a prispievajú k dosiahnutiu plánovaných </w:t>
      </w:r>
      <w:proofErr w:type="spellStart"/>
      <w:r w:rsidRPr="0073389C">
        <w:t>cieľov</w:t>
      </w:r>
      <w:proofErr w:type="spellEnd"/>
      <w:r w:rsidRPr="0073389C">
        <w:t xml:space="preserve">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proofErr w:type="spellStart"/>
      <w:r w:rsidRPr="0073389C">
        <w:t>čase</w:t>
      </w:r>
      <w:proofErr w:type="spellEnd"/>
      <w:r w:rsidRPr="0073389C">
        <w:t xml:space="preserv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proofErr w:type="spellStart"/>
      <w:r w:rsidRPr="0073389C">
        <w:t>spĺňa</w:t>
      </w:r>
      <w:proofErr w:type="spellEnd"/>
      <w:r w:rsidRPr="0073389C">
        <w:t xml:space="preserve"> podmienky hospodárnosti, efektívnosti, </w:t>
      </w:r>
      <w:proofErr w:type="spellStart"/>
      <w:r w:rsidRPr="0073389C">
        <w:t>účelnosti</w:t>
      </w:r>
      <w:proofErr w:type="spellEnd"/>
      <w:r w:rsidRPr="0073389C">
        <w:t xml:space="preserve"> a </w:t>
      </w:r>
      <w:proofErr w:type="spellStart"/>
      <w:r w:rsidRPr="0073389C">
        <w:t>účinnosti</w:t>
      </w:r>
      <w:proofErr w:type="spellEnd"/>
      <w:r w:rsidRPr="0073389C">
        <w:t xml:space="preserve">;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proofErr w:type="spellStart"/>
      <w:r w:rsidRPr="00A11D9F">
        <w:rPr>
          <w:rFonts w:ascii="Arial" w:hAnsi="Arial" w:cs="Arial"/>
          <w:sz w:val="19"/>
          <w:szCs w:val="19"/>
          <w:lang w:val="sk-SK"/>
        </w:rPr>
        <w:t>identifikovateľné</w:t>
      </w:r>
      <w:proofErr w:type="spellEnd"/>
      <w:r w:rsidRPr="00A11D9F">
        <w:rPr>
          <w:rFonts w:ascii="Arial" w:hAnsi="Arial" w:cs="Arial"/>
          <w:sz w:val="19"/>
          <w:szCs w:val="19"/>
          <w:lang w:val="sk-SK"/>
        </w:rPr>
        <w:t xml:space="preserve"> a </w:t>
      </w:r>
      <w:proofErr w:type="spellStart"/>
      <w:r w:rsidRPr="00A11D9F">
        <w:rPr>
          <w:rFonts w:ascii="Arial" w:hAnsi="Arial" w:cs="Arial"/>
          <w:sz w:val="19"/>
          <w:szCs w:val="19"/>
          <w:lang w:val="sk-SK"/>
        </w:rPr>
        <w:t>preukázateľné</w:t>
      </w:r>
      <w:proofErr w:type="spellEnd"/>
      <w:r w:rsidRPr="00A11D9F">
        <w:rPr>
          <w:rFonts w:ascii="Arial" w:hAnsi="Arial" w:cs="Arial"/>
          <w:sz w:val="19"/>
          <w:szCs w:val="19"/>
          <w:lang w:val="sk-SK"/>
        </w:rPr>
        <w:t xml:space="preserve"> a musia byť doložené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ktoré sú riadne evidované u </w:t>
      </w:r>
      <w:proofErr w:type="spellStart"/>
      <w:r w:rsidRPr="00A11D9F">
        <w:rPr>
          <w:rFonts w:ascii="Arial" w:hAnsi="Arial" w:cs="Arial"/>
          <w:sz w:val="19"/>
          <w:szCs w:val="19"/>
          <w:lang w:val="sk-SK"/>
        </w:rPr>
        <w:t>prijímateľa</w:t>
      </w:r>
      <w:proofErr w:type="spellEnd"/>
      <w:r w:rsidRPr="00A11D9F">
        <w:rPr>
          <w:rFonts w:ascii="Arial" w:hAnsi="Arial" w:cs="Arial"/>
          <w:sz w:val="19"/>
          <w:szCs w:val="19"/>
          <w:lang w:val="sk-SK"/>
        </w:rPr>
        <w:t xml:space="preserve"> v súlade s platnou legislatívou; výdavok je preukázaný faktúrami alebo inými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rovnocennej preukaznej hodnoty, ktoré sú riadne evidované v </w:t>
      </w:r>
      <w:proofErr w:type="spellStart"/>
      <w:r w:rsidRPr="00A11D9F">
        <w:rPr>
          <w:rFonts w:ascii="Arial" w:hAnsi="Arial" w:cs="Arial"/>
          <w:sz w:val="19"/>
          <w:szCs w:val="19"/>
          <w:lang w:val="sk-SK"/>
        </w:rPr>
        <w:t>účtovníctve</w:t>
      </w:r>
      <w:proofErr w:type="spellEnd"/>
      <w:r w:rsidRPr="00A11D9F">
        <w:rPr>
          <w:rFonts w:ascii="Arial" w:hAnsi="Arial" w:cs="Arial"/>
          <w:sz w:val="19"/>
          <w:szCs w:val="19"/>
          <w:lang w:val="sk-SK"/>
        </w:rPr>
        <w:t xml:space="preserve"> </w:t>
      </w:r>
      <w:proofErr w:type="spellStart"/>
      <w:r w:rsidRPr="00A11D9F">
        <w:rPr>
          <w:rFonts w:ascii="Arial" w:hAnsi="Arial" w:cs="Arial"/>
          <w:sz w:val="19"/>
          <w:szCs w:val="19"/>
          <w:lang w:val="sk-SK"/>
        </w:rPr>
        <w:t>prijímateľa</w:t>
      </w:r>
      <w:proofErr w:type="spellEnd"/>
      <w:r w:rsidRPr="00A11D9F">
        <w:rPr>
          <w:rFonts w:ascii="Arial" w:hAnsi="Arial" w:cs="Arial"/>
          <w:sz w:val="19"/>
          <w:szCs w:val="19"/>
          <w:lang w:val="sk-SK"/>
        </w:rPr>
        <w:t xml:space="preserve"> v súlade s platnými všeobecne záväznými právnymi predpismi a zmluvou o NFP. Preukázanie výdavkov faktúrami alebo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rovnocennej preukaznej hodnoty sa </w:t>
      </w:r>
      <w:proofErr w:type="spellStart"/>
      <w:r w:rsidRPr="00A11D9F">
        <w:rPr>
          <w:rFonts w:ascii="Arial" w:hAnsi="Arial" w:cs="Arial"/>
          <w:sz w:val="19"/>
          <w:szCs w:val="19"/>
          <w:lang w:val="sk-SK"/>
        </w:rPr>
        <w:t>nevzťahuje</w:t>
      </w:r>
      <w:proofErr w:type="spellEnd"/>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proofErr w:type="spellStart"/>
      <w:r w:rsidRPr="0073389C">
        <w:rPr>
          <w:rFonts w:ascii="Arial" w:hAnsi="Arial" w:cs="Arial"/>
          <w:sz w:val="19"/>
          <w:szCs w:val="19"/>
          <w:lang w:val="sk-SK"/>
        </w:rPr>
        <w:t>prijímateľovi</w:t>
      </w:r>
      <w:proofErr w:type="spellEnd"/>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proofErr w:type="spellStart"/>
      <w:r w:rsidRPr="0073389C">
        <w:rPr>
          <w:rFonts w:ascii="Arial" w:hAnsi="Arial" w:cs="Arial"/>
          <w:sz w:val="19"/>
          <w:szCs w:val="19"/>
          <w:lang w:val="sk-SK"/>
        </w:rPr>
        <w:t>pričom</w:t>
      </w:r>
      <w:proofErr w:type="spellEnd"/>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proofErr w:type="spellStart"/>
      <w:r w:rsidRPr="0073389C">
        <w:rPr>
          <w:rFonts w:ascii="Arial" w:hAnsi="Arial" w:cs="Arial"/>
          <w:sz w:val="19"/>
          <w:szCs w:val="19"/>
          <w:lang w:val="sk-SK"/>
        </w:rPr>
        <w:t>nahradit</w:t>
      </w:r>
      <w:proofErr w:type="spellEnd"/>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w:t>
      </w:r>
      <w:r w:rsidRPr="00624A78">
        <w:rPr>
          <w:rFonts w:eastAsia="Times" w:cs="Arial"/>
          <w:szCs w:val="19"/>
          <w:lang w:eastAsia="sk-SK"/>
        </w:rPr>
        <w:lastRenderedPageBreak/>
        <w:t>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w:t>
      </w:r>
      <w:r w:rsidR="009D7F63" w:rsidRPr="0073389C">
        <w:rPr>
          <w:rFonts w:cs="Arial"/>
          <w:szCs w:val="19"/>
          <w:lang w:val="sk-SK"/>
        </w:rPr>
        <w:lastRenderedPageBreak/>
        <w:t xml:space="preserve">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F54541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lastRenderedPageBreak/>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w:t>
      </w:r>
      <w:proofErr w:type="spellStart"/>
      <w:r w:rsidRPr="00771817">
        <w:rPr>
          <w:rFonts w:cs="Arial"/>
          <w:color w:val="auto"/>
          <w:szCs w:val="19"/>
          <w:lang w:val="sk-SK"/>
        </w:rPr>
        <w:t>t.j</w:t>
      </w:r>
      <w:proofErr w:type="spellEnd"/>
      <w:r w:rsidRPr="00771817">
        <w:rPr>
          <w:rFonts w:cs="Arial"/>
          <w:color w:val="auto"/>
          <w:szCs w:val="19"/>
          <w:lang w:val="sk-SK"/>
        </w:rPr>
        <w:t xml:space="preserve">.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68C4C742" w14:textId="268D41BE" w:rsidR="00200264" w:rsidRDefault="00200264" w:rsidP="002244BF">
      <w:pPr>
        <w:pStyle w:val="Textkomentra"/>
        <w:numPr>
          <w:ilvl w:val="0"/>
          <w:numId w:val="95"/>
        </w:numPr>
        <w:rPr>
          <w:lang w:val="sk-SK"/>
        </w:rPr>
      </w:pPr>
      <w:r>
        <w:rPr>
          <w:lang w:val="sk-SK"/>
        </w:rPr>
        <w:t>Prevodník obstaraných položiek k rozpočtu projektu</w:t>
      </w: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F8067" w14:textId="77777777" w:rsidR="002E082D" w:rsidRDefault="002E082D">
      <w:r>
        <w:separator/>
      </w:r>
    </w:p>
    <w:p w14:paraId="26FDB601" w14:textId="77777777" w:rsidR="002E082D" w:rsidRDefault="002E082D"/>
  </w:endnote>
  <w:endnote w:type="continuationSeparator" w:id="0">
    <w:p w14:paraId="0E3AFDCC" w14:textId="77777777" w:rsidR="002E082D" w:rsidRDefault="002E082D">
      <w:r>
        <w:continuationSeparator/>
      </w:r>
    </w:p>
    <w:p w14:paraId="082735C8" w14:textId="77777777" w:rsidR="002E082D" w:rsidRDefault="002E082D"/>
  </w:endnote>
  <w:endnote w:type="continuationNotice" w:id="1">
    <w:p w14:paraId="344E9427" w14:textId="77777777" w:rsidR="002E082D" w:rsidRDefault="002E0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140CE3" w:rsidRDefault="00140CE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140CE3" w:rsidRDefault="00140CE3">
    <w:pPr>
      <w:pStyle w:val="Pta"/>
      <w:jc w:val="right"/>
    </w:pPr>
    <w:r>
      <w:fldChar w:fldCharType="begin"/>
    </w:r>
    <w:r>
      <w:instrText xml:space="preserve"> PAGE   \* MERGEFORMAT </w:instrText>
    </w:r>
    <w:r>
      <w:fldChar w:fldCharType="separate"/>
    </w:r>
    <w:r w:rsidR="006D6B9C">
      <w:rPr>
        <w:noProof/>
      </w:rPr>
      <w:t>4</w:t>
    </w:r>
    <w:r>
      <w:rPr>
        <w:noProof/>
      </w:rPr>
      <w:fldChar w:fldCharType="end"/>
    </w:r>
  </w:p>
  <w:p w14:paraId="5596B515" w14:textId="77777777" w:rsidR="00140CE3" w:rsidRPr="003530AF" w:rsidRDefault="00140CE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140CE3" w:rsidRDefault="00140CE3">
        <w:pPr>
          <w:pStyle w:val="Pta"/>
          <w:jc w:val="right"/>
        </w:pPr>
        <w:r>
          <w:fldChar w:fldCharType="begin"/>
        </w:r>
        <w:r>
          <w:instrText>PAGE   \* MERGEFORMAT</w:instrText>
        </w:r>
        <w:r>
          <w:fldChar w:fldCharType="separate"/>
        </w:r>
        <w:r w:rsidR="006D6B9C" w:rsidRPr="006D6B9C">
          <w:rPr>
            <w:noProof/>
            <w:lang w:val="sk-SK"/>
          </w:rPr>
          <w:t>1</w:t>
        </w:r>
        <w:r>
          <w:fldChar w:fldCharType="end"/>
        </w:r>
      </w:p>
    </w:sdtContent>
  </w:sdt>
  <w:p w14:paraId="3B48FDCA" w14:textId="77777777" w:rsidR="00140CE3" w:rsidRDefault="00140CE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40264" w14:textId="77777777" w:rsidR="002E082D" w:rsidRDefault="002E082D">
      <w:r>
        <w:separator/>
      </w:r>
    </w:p>
    <w:p w14:paraId="277CA047" w14:textId="77777777" w:rsidR="002E082D" w:rsidRDefault="002E082D"/>
  </w:footnote>
  <w:footnote w:type="continuationSeparator" w:id="0">
    <w:p w14:paraId="51496C21" w14:textId="77777777" w:rsidR="002E082D" w:rsidRDefault="002E082D">
      <w:r>
        <w:continuationSeparator/>
      </w:r>
    </w:p>
    <w:p w14:paraId="08C6000A" w14:textId="77777777" w:rsidR="002E082D" w:rsidRDefault="002E082D"/>
  </w:footnote>
  <w:footnote w:type="continuationNotice" w:id="1">
    <w:p w14:paraId="1BA931B3" w14:textId="77777777" w:rsidR="002E082D" w:rsidRDefault="002E082D"/>
  </w:footnote>
  <w:footnote w:id="2">
    <w:p w14:paraId="7A55D546" w14:textId="77777777" w:rsidR="00140CE3" w:rsidRPr="009D7F63" w:rsidRDefault="00140CE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140CE3" w:rsidRPr="009D7F63" w:rsidRDefault="00140CE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7A55D548" w14:textId="77777777" w:rsidR="00140CE3" w:rsidRPr="009D7F63" w:rsidRDefault="00140CE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7F6325DA" w14:textId="3D1E837E" w:rsidR="00140CE3" w:rsidRPr="00587015" w:rsidRDefault="00140CE3"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140CE3" w:rsidRPr="009D7F63" w:rsidRDefault="00140CE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140CE3" w:rsidRPr="00E25071" w:rsidRDefault="00140CE3"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140CE3" w:rsidRPr="009D7F63" w:rsidRDefault="00140CE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140CE3" w:rsidRPr="009D7F63" w:rsidRDefault="00140CE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140CE3" w:rsidRPr="007D7535" w:rsidRDefault="00140CE3"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140CE3" w:rsidRPr="009D7F63" w:rsidRDefault="00140CE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140CE3" w:rsidRPr="009D7F63" w:rsidRDefault="00140CE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140CE3" w:rsidRPr="009D7F63" w:rsidRDefault="00140CE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140CE3" w:rsidRPr="009D7F63" w:rsidRDefault="00140CE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140CE3" w:rsidRPr="009D7F63" w:rsidRDefault="00140CE3"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140CE3" w:rsidRPr="009D7F63" w:rsidRDefault="00140CE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140CE3" w:rsidRPr="009D7F63" w:rsidRDefault="00140CE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140CE3" w:rsidRPr="009D7F63" w:rsidRDefault="00140CE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140CE3" w:rsidRPr="009D7F63" w:rsidRDefault="00140CE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140CE3" w:rsidRPr="00041D2E" w:rsidRDefault="00140CE3" w:rsidP="00041D2E">
      <w:pPr>
        <w:pStyle w:val="Textpoznmkypodiarou"/>
        <w:rPr>
          <w:lang w:val="sk-SK"/>
        </w:rPr>
      </w:pPr>
      <w:r w:rsidRPr="009D7F63">
        <w:rPr>
          <w:rFonts w:cs="Arial"/>
          <w:szCs w:val="16"/>
          <w:lang w:val="sk-SK" w:eastAsia="cs-CZ"/>
        </w:rPr>
        <w:t>4. pohonné hmoty.</w:t>
      </w:r>
    </w:p>
  </w:footnote>
  <w:footnote w:id="13">
    <w:p w14:paraId="7A55D551" w14:textId="77777777" w:rsidR="00140CE3" w:rsidRPr="009D7F63" w:rsidRDefault="00140CE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140CE3" w:rsidRPr="009D7F63" w:rsidRDefault="00140CE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140CE3" w:rsidRPr="009D7F63" w:rsidRDefault="00140CE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140CE3" w:rsidRDefault="00140CE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140CE3" w:rsidRPr="009D7F63" w:rsidRDefault="00140CE3">
      <w:pPr>
        <w:pStyle w:val="Textpoznmkypodiarou"/>
        <w:rPr>
          <w:rFonts w:cs="Arial"/>
          <w:szCs w:val="16"/>
          <w:lang w:val="sk-SK"/>
        </w:rPr>
      </w:pPr>
    </w:p>
  </w:footnote>
  <w:footnote w:id="17">
    <w:p w14:paraId="7A55D555" w14:textId="77777777" w:rsidR="00140CE3" w:rsidRPr="009D7F63" w:rsidRDefault="00140CE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18">
    <w:p w14:paraId="0274D41C" w14:textId="77777777" w:rsidR="00140CE3" w:rsidRPr="006E4CC8" w:rsidRDefault="00140CE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140CE3" w:rsidRPr="007F7349" w:rsidRDefault="00140CE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140CE3" w:rsidRPr="007F7349" w:rsidRDefault="00140CE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140CE3" w:rsidRPr="007F7349" w:rsidRDefault="00140CE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140CE3" w:rsidRPr="00F41F62" w:rsidRDefault="00140CE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140CE3" w:rsidRPr="009D7F63" w:rsidRDefault="00140CE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140CE3" w:rsidRPr="004F28ED" w:rsidRDefault="00140CE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140CE3" w:rsidRPr="00965E93" w:rsidRDefault="00140CE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140CE3" w:rsidRPr="009D7F63" w:rsidRDefault="00140CE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140CE3" w:rsidRPr="009D7F63" w:rsidRDefault="00140CE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140CE3" w:rsidRPr="009D7F63" w:rsidRDefault="00140CE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140CE3" w:rsidRPr="009D7F63" w:rsidRDefault="00140CE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140CE3" w:rsidRPr="009D7F63" w:rsidRDefault="00140CE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6">
    <w:p w14:paraId="7A55D55B" w14:textId="77777777" w:rsidR="00140CE3" w:rsidRPr="009D7F63" w:rsidRDefault="00140CE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140CE3" w:rsidRPr="009D7F63" w:rsidRDefault="00140CE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140CE3" w:rsidRPr="009D7F63" w:rsidRDefault="00140CE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140CE3" w:rsidRPr="009D7F63" w:rsidRDefault="00140CE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140CE3" w:rsidRPr="00062F88" w:rsidRDefault="00140CE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140CE3" w:rsidRDefault="00140CE3"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140CE3" w:rsidRDefault="00140CE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140CE3" w:rsidRDefault="00140CE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140CE3" w:rsidRPr="00027286" w:rsidRDefault="00140CE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140CE3" w:rsidRPr="00AF0A84" w:rsidRDefault="00140CE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140CE3" w:rsidRPr="009D7F63" w:rsidRDefault="00140CE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140CE3" w:rsidRPr="00B275B2" w:rsidRDefault="00140CE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0">
    <w:p w14:paraId="44310DB6" w14:textId="77777777"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0B437969" w:rsidR="00140CE3" w:rsidRPr="001277DD" w:rsidRDefault="00140CE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2">
    <w:p w14:paraId="250CEFBD" w14:textId="33B32087" w:rsidR="00140CE3" w:rsidRPr="00923BC1" w:rsidRDefault="00140CE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3">
    <w:p w14:paraId="414F1A43" w14:textId="265724BA" w:rsidR="00140CE3" w:rsidRPr="00772F95" w:rsidRDefault="00140CE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140CE3" w:rsidRPr="008A522F" w:rsidRDefault="00140CE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140CE3" w:rsidRPr="00CE0C11" w:rsidRDefault="00140CE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59C496F8" w14:textId="77777777" w:rsidR="00140CE3" w:rsidRPr="00621D47" w:rsidRDefault="00140CE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7">
    <w:p w14:paraId="70BE8EFD" w14:textId="4D3737B4" w:rsidR="00140CE3" w:rsidRPr="00391F1C" w:rsidRDefault="00140CE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48">
    <w:p w14:paraId="7A55D567" w14:textId="77777777" w:rsidR="00140CE3" w:rsidRPr="009D7F63" w:rsidRDefault="00140CE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9">
    <w:p w14:paraId="7A55D568" w14:textId="77777777" w:rsidR="00140CE3" w:rsidRPr="009D7F63" w:rsidRDefault="00140CE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0">
    <w:p w14:paraId="7A55D569" w14:textId="77777777" w:rsidR="00140CE3" w:rsidRPr="009D7F63" w:rsidRDefault="00140CE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1">
    <w:p w14:paraId="7A55D56A" w14:textId="77777777" w:rsidR="00140CE3" w:rsidRPr="009D7F63" w:rsidRDefault="00140CE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2">
    <w:p w14:paraId="7A55D56B" w14:textId="77777777" w:rsidR="00140CE3" w:rsidRPr="009D7F63" w:rsidRDefault="00140CE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3">
    <w:p w14:paraId="7A55D56E" w14:textId="416A13B1" w:rsidR="00140CE3" w:rsidRPr="009D7F63" w:rsidRDefault="00140CE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4">
    <w:p w14:paraId="7DAB27E8" w14:textId="77777777" w:rsidR="00140CE3" w:rsidRPr="00405EED" w:rsidRDefault="00140CE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5">
    <w:p w14:paraId="7A55D570" w14:textId="36F68E99" w:rsidR="00140CE3" w:rsidRPr="009D7F63" w:rsidRDefault="00140CE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6">
    <w:p w14:paraId="7A55D571" w14:textId="77777777" w:rsidR="00140CE3" w:rsidRPr="009D7F63" w:rsidRDefault="00140CE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57">
    <w:p w14:paraId="7A55D573" w14:textId="77777777" w:rsidR="00140CE3" w:rsidRPr="009D7F63" w:rsidRDefault="00140CE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8">
    <w:p w14:paraId="7A55D574" w14:textId="77777777" w:rsidR="00140CE3" w:rsidRPr="009D7F63" w:rsidRDefault="00140CE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9">
    <w:p w14:paraId="7A55D575" w14:textId="2BC95C86" w:rsidR="00140CE3" w:rsidRPr="009D7F63" w:rsidRDefault="00140CE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0">
    <w:p w14:paraId="7A55D578" w14:textId="77777777" w:rsidR="00140CE3" w:rsidRPr="009D7F63" w:rsidRDefault="00140CE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1">
    <w:p w14:paraId="4F8F3C8B" w14:textId="77777777" w:rsidR="00140CE3" w:rsidRPr="009D7F63" w:rsidRDefault="00140CE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2">
    <w:p w14:paraId="451277DD" w14:textId="77777777" w:rsidR="00140CE3" w:rsidRPr="009D7F63" w:rsidRDefault="00140CE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3">
    <w:p w14:paraId="7A55D579" w14:textId="67088258" w:rsidR="00140CE3" w:rsidRPr="009D7F63" w:rsidRDefault="00140CE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4">
    <w:p w14:paraId="45573155" w14:textId="14B40576" w:rsidR="00140CE3" w:rsidRPr="001A7C8D" w:rsidRDefault="00140CE3">
      <w:pPr>
        <w:pStyle w:val="Textpoznmkypodiarou"/>
        <w:rPr>
          <w:lang w:val="sk-SK"/>
        </w:rPr>
      </w:pPr>
      <w:r>
        <w:rPr>
          <w:rStyle w:val="Odkaznapoznmkupodiarou"/>
        </w:rPr>
        <w:footnoteRef/>
      </w:r>
      <w:r>
        <w:t xml:space="preserve"> V zmysle ustanovenia § 22 ods. 2 zákona o finančnej kontrole</w:t>
      </w:r>
    </w:p>
  </w:footnote>
  <w:footnote w:id="65">
    <w:p w14:paraId="7A55D57A" w14:textId="77777777" w:rsidR="00140CE3" w:rsidRPr="009D7F63" w:rsidRDefault="00140CE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140CE3" w:rsidRPr="009D7F63" w:rsidRDefault="00140CE3">
      <w:pPr>
        <w:pStyle w:val="Textpoznmkypodiarou"/>
        <w:rPr>
          <w:rFonts w:cs="Arial"/>
          <w:szCs w:val="16"/>
          <w:lang w:val="sk-SK"/>
        </w:rPr>
      </w:pPr>
    </w:p>
  </w:footnote>
  <w:footnote w:id="66">
    <w:p w14:paraId="7A55D57C" w14:textId="77777777" w:rsidR="00140CE3" w:rsidRPr="009D7F63" w:rsidRDefault="00140CE3"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7">
    <w:p w14:paraId="7A55D57D" w14:textId="77777777" w:rsidR="00140CE3" w:rsidRPr="009D7F63" w:rsidRDefault="00140CE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68">
    <w:p w14:paraId="7A55D57E" w14:textId="77777777" w:rsidR="00140CE3" w:rsidRPr="009D7F63" w:rsidRDefault="00140CE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zúčtovanie </w:t>
      </w:r>
      <w:proofErr w:type="spellStart"/>
      <w:r w:rsidRPr="009D7F63">
        <w:rPr>
          <w:rFonts w:cs="Arial"/>
          <w:szCs w:val="16"/>
          <w:lang w:val="sk-SK"/>
        </w:rPr>
        <w:t>predfinancovania</w:t>
      </w:r>
      <w:proofErr w:type="spellEnd"/>
      <w:r w:rsidRPr="009D7F63">
        <w:rPr>
          <w:rFonts w:cs="Arial"/>
          <w:szCs w:val="16"/>
          <w:lang w:val="sk-SK"/>
        </w:rPr>
        <w:t xml:space="preserve">, poskytnutie zálohovej platby, </w:t>
      </w:r>
    </w:p>
  </w:footnote>
  <w:footnote w:id="69">
    <w:p w14:paraId="7A55D57F" w14:textId="77777777" w:rsidR="00140CE3" w:rsidRPr="009D7F63" w:rsidRDefault="00140CE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poskytnutie </w:t>
      </w:r>
      <w:proofErr w:type="spellStart"/>
      <w:r w:rsidRPr="009D7F63">
        <w:rPr>
          <w:rFonts w:cs="Arial"/>
          <w:szCs w:val="16"/>
          <w:lang w:val="sk-SK"/>
        </w:rPr>
        <w:t>predfinancovania</w:t>
      </w:r>
      <w:proofErr w:type="spellEnd"/>
      <w:r w:rsidRPr="009D7F63">
        <w:rPr>
          <w:rFonts w:cs="Arial"/>
          <w:szCs w:val="16"/>
          <w:lang w:val="sk-SK"/>
        </w:rPr>
        <w:t>, zúčtovanie zálohovej platby a refundácia.</w:t>
      </w:r>
    </w:p>
  </w:footnote>
  <w:footnote w:id="70">
    <w:p w14:paraId="7A55D580" w14:textId="77777777" w:rsidR="00140CE3" w:rsidRPr="009D7F63" w:rsidRDefault="00140CE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1">
    <w:p w14:paraId="7A55D581" w14:textId="77777777"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2">
    <w:p w14:paraId="7A55D582" w14:textId="77777777" w:rsidR="00140CE3" w:rsidRPr="009D7F63" w:rsidRDefault="00140CE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3">
    <w:p w14:paraId="7A55D583" w14:textId="052EABFD" w:rsidR="00140CE3" w:rsidRPr="009D7F63" w:rsidRDefault="00140CE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7A55D584" w14:textId="77777777" w:rsidR="00140CE3" w:rsidRPr="009D7F63" w:rsidRDefault="00140CE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140CE3" w:rsidRPr="009D7F63" w:rsidRDefault="00140CE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140CE3" w:rsidRPr="002D4DD9" w:rsidRDefault="00140CE3"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4">
    <w:p w14:paraId="7A55D587" w14:textId="77777777" w:rsidR="00140CE3" w:rsidRPr="002D4DD9" w:rsidRDefault="00140CE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5">
    <w:p w14:paraId="7A55D588" w14:textId="4EF420D0" w:rsidR="00140CE3" w:rsidRPr="00666AC8" w:rsidRDefault="00140CE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6">
    <w:p w14:paraId="7A55D589" w14:textId="5F9FD177" w:rsidR="00140CE3" w:rsidRPr="002D4DD9" w:rsidRDefault="00140CE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proofErr w:type="spellStart"/>
      <w:r w:rsidRPr="009D7F63">
        <w:rPr>
          <w:rFonts w:cs="Arial"/>
          <w:szCs w:val="16"/>
        </w:rPr>
        <w:t>racovn</w:t>
      </w:r>
      <w:r>
        <w:rPr>
          <w:rFonts w:cs="Arial"/>
          <w:szCs w:val="16"/>
          <w:lang w:val="sk-SK"/>
        </w:rPr>
        <w:t>ý</w:t>
      </w:r>
      <w:proofErr w:type="spellEnd"/>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7">
    <w:p w14:paraId="7A55D58A" w14:textId="010C8D03" w:rsidR="00140CE3" w:rsidRPr="002D4DD9" w:rsidRDefault="00140CE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78">
    <w:p w14:paraId="7A55D58B" w14:textId="77777777" w:rsidR="00140CE3" w:rsidRPr="002D4DD9" w:rsidRDefault="00140CE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79">
    <w:p w14:paraId="7A55D58D" w14:textId="03BDB2CD" w:rsidR="00140CE3" w:rsidRPr="009D7F63" w:rsidRDefault="00140CE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proofErr w:type="spellStart"/>
      <w:r w:rsidRPr="009D7F63">
        <w:rPr>
          <w:rFonts w:cs="Arial"/>
          <w:szCs w:val="16"/>
        </w:rPr>
        <w:t>racovn</w:t>
      </w:r>
      <w:r w:rsidRPr="009D7F63">
        <w:rPr>
          <w:rFonts w:cs="Arial"/>
          <w:szCs w:val="16"/>
          <w:lang w:val="sk-SK"/>
        </w:rPr>
        <w:t>ý</w:t>
      </w:r>
      <w:proofErr w:type="spellEnd"/>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0">
    <w:p w14:paraId="7A55D58E" w14:textId="77777777" w:rsidR="00140CE3" w:rsidRPr="009D7F63" w:rsidRDefault="00140CE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18F68BE6" w14:textId="77777777" w:rsidR="00140CE3" w:rsidRPr="009D7F63" w:rsidRDefault="00140CE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2">
    <w:p w14:paraId="245656D0" w14:textId="34CF1211" w:rsidR="00140CE3" w:rsidRPr="009D7F63" w:rsidRDefault="00140CE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3">
    <w:p w14:paraId="1BAE06D9" w14:textId="3DB56B7A" w:rsidR="00140CE3" w:rsidRPr="008D4874" w:rsidRDefault="00140CE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4">
    <w:p w14:paraId="06A0F700" w14:textId="0A8847BF" w:rsidR="00140CE3" w:rsidRPr="00A9227A" w:rsidRDefault="00140CE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5">
    <w:p w14:paraId="7A55D594" w14:textId="7255982C" w:rsidR="00140CE3" w:rsidRPr="009D7F63" w:rsidRDefault="00140CE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86">
    <w:p w14:paraId="7A55D597" w14:textId="7291098D" w:rsidR="00140CE3" w:rsidRPr="009D7F63" w:rsidRDefault="00140CE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7">
    <w:p w14:paraId="7A55D598" w14:textId="1F811B32"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8">
    <w:p w14:paraId="7A55D599" w14:textId="36FD13E6"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89">
    <w:p w14:paraId="155B50B0" w14:textId="6BA108FC" w:rsidR="00140CE3" w:rsidRPr="001D76D4" w:rsidRDefault="00140CE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0">
    <w:p w14:paraId="2376272C" w14:textId="0C61265A" w:rsidR="00140CE3" w:rsidRDefault="002E082D" w:rsidP="009D7F63">
      <w:pPr>
        <w:pStyle w:val="Textpoznmkypodiarou"/>
        <w:rPr>
          <w:rFonts w:cs="Arial"/>
          <w:szCs w:val="16"/>
          <w:lang w:val="sk-SK"/>
        </w:rPr>
      </w:pPr>
      <w:hyperlink r:id="rId3" w:history="1">
        <w:r w:rsidR="00140CE3" w:rsidRPr="00D11568">
          <w:rPr>
            <w:rStyle w:val="Hypertextovprepojenie"/>
            <w:rFonts w:cs="Arial"/>
            <w:sz w:val="16"/>
            <w:szCs w:val="16"/>
            <w:lang w:val="sk-SK"/>
          </w:rPr>
          <w:t>http://www.uvo.gov.sk/legislativametodika-dohlad/metodicke-usmernenia/vseobecne-metodicke-usmernenia-zakon-c-252006-z-z--4bc.html</w:t>
        </w:r>
      </w:hyperlink>
      <w:r w:rsidR="00140CE3" w:rsidRPr="00D11568">
        <w:rPr>
          <w:rFonts w:cs="Arial"/>
          <w:szCs w:val="16"/>
          <w:lang w:val="sk-SK"/>
        </w:rPr>
        <w:t xml:space="preserve">  a http://www.uvo.gov.sk/legislativametodika-dohlad/metodicke-usmernenia/vseobecne-metodicke-usmernenia-zakon-c-3432015-z-z--51e.html</w:t>
      </w:r>
      <w:r w:rsidR="00140CE3" w:rsidRPr="00D11568" w:rsidDel="00D11568">
        <w:rPr>
          <w:rFonts w:cs="Arial"/>
          <w:szCs w:val="16"/>
          <w:lang w:val="sk-SK"/>
        </w:rPr>
        <w:t xml:space="preserve"> </w:t>
      </w:r>
      <w:r w:rsidR="00140CE3" w:rsidRPr="00552EAD">
        <w:rPr>
          <w:rStyle w:val="Odkaznapoznmkupodiarou"/>
          <w:rFonts w:cs="Arial"/>
          <w:szCs w:val="16"/>
          <w:vertAlign w:val="baseline"/>
        </w:rPr>
        <w:t xml:space="preserve"> </w:t>
      </w:r>
      <w:r w:rsidR="00140CE3" w:rsidRPr="009D7F63">
        <w:rPr>
          <w:rStyle w:val="Odkaznapoznmkupodiarou"/>
          <w:rFonts w:cs="Arial"/>
          <w:szCs w:val="16"/>
        </w:rPr>
        <w:footnoteRef/>
      </w:r>
    </w:p>
    <w:p w14:paraId="7A55D59A" w14:textId="542F27CA" w:rsidR="00140CE3" w:rsidRPr="009D7F63" w:rsidRDefault="00140CE3" w:rsidP="009D7F63">
      <w:pPr>
        <w:pStyle w:val="Textpoznmkypodiarou"/>
        <w:rPr>
          <w:rFonts w:cs="Arial"/>
          <w:szCs w:val="16"/>
          <w:lang w:val="sk-SK"/>
        </w:rPr>
      </w:pPr>
    </w:p>
  </w:footnote>
  <w:footnote w:id="91">
    <w:p w14:paraId="7A55D59B" w14:textId="77777777" w:rsidR="00140CE3" w:rsidRPr="009D7F63" w:rsidRDefault="00140CE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140CE3" w:rsidRPr="009D7F63" w:rsidRDefault="00140CE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140CE3" w:rsidRPr="009D7F63" w:rsidRDefault="00140CE3" w:rsidP="009D7F63">
      <w:pPr>
        <w:pStyle w:val="Textpoznmkypodiarou"/>
        <w:rPr>
          <w:rFonts w:cs="Arial"/>
          <w:szCs w:val="16"/>
        </w:rPr>
      </w:pPr>
    </w:p>
  </w:footnote>
  <w:footnote w:id="92">
    <w:p w14:paraId="7758003D" w14:textId="22D7C67A" w:rsidR="00140CE3" w:rsidRPr="00E70656" w:rsidRDefault="00140CE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3">
    <w:p w14:paraId="7A55D59E" w14:textId="77777777"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4">
    <w:p w14:paraId="7A55D59F" w14:textId="77777777" w:rsidR="00140CE3" w:rsidRPr="009D7F63" w:rsidRDefault="00140CE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5">
    <w:p w14:paraId="7A55D5A0" w14:textId="77777777" w:rsidR="00140CE3" w:rsidRPr="009D7F63" w:rsidRDefault="00140CE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6">
    <w:p w14:paraId="6D173C29" w14:textId="17D0C2A7" w:rsidR="00140CE3" w:rsidRPr="00963E0D" w:rsidRDefault="00140CE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7">
    <w:p w14:paraId="17304A12" w14:textId="40A4FD60" w:rsidR="00140CE3" w:rsidRPr="00963E0D" w:rsidRDefault="00140CE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98">
    <w:p w14:paraId="169A4593" w14:textId="3DC46A8E" w:rsidR="00140CE3" w:rsidRPr="00963E0D" w:rsidRDefault="00140CE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99">
    <w:p w14:paraId="7A55D5A1" w14:textId="77777777" w:rsidR="00140CE3" w:rsidRPr="009D7F63" w:rsidRDefault="00140CE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0">
    <w:p w14:paraId="2A432946" w14:textId="35C29B09" w:rsidR="00140CE3" w:rsidRPr="001325C0" w:rsidRDefault="00140CE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1">
    <w:p w14:paraId="19A2FB50" w14:textId="3C8C6416" w:rsidR="00140CE3" w:rsidRPr="001325C0" w:rsidRDefault="00140CE3">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02">
    <w:p w14:paraId="6CF6D88E" w14:textId="77777777" w:rsidR="00140CE3" w:rsidRPr="001325C0" w:rsidRDefault="00140CE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140CE3" w:rsidRPr="001325C0" w:rsidRDefault="00140CE3">
      <w:pPr>
        <w:pStyle w:val="Textpoznmkypodiarou"/>
        <w:rPr>
          <w:lang w:val="sk-SK"/>
        </w:rPr>
      </w:pPr>
    </w:p>
  </w:footnote>
  <w:footnote w:id="103">
    <w:p w14:paraId="60152099" w14:textId="6522BB22" w:rsidR="00140CE3" w:rsidRPr="00DF0865" w:rsidRDefault="00140CE3">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04">
    <w:p w14:paraId="7A55D5A3" w14:textId="77777777" w:rsidR="00140CE3" w:rsidRPr="009D7F63" w:rsidRDefault="00140CE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140CE3" w:rsidRDefault="00140CE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140CE3" w:rsidRDefault="00140CE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140CE3" w:rsidRDefault="00140CE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4">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5">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2">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2">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6">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1">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2">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8">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8">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1">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4">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0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1"/>
  </w:num>
  <w:num w:numId="2">
    <w:abstractNumId w:val="22"/>
  </w:num>
  <w:num w:numId="3">
    <w:abstractNumId w:val="84"/>
  </w:num>
  <w:num w:numId="4">
    <w:abstractNumId w:val="17"/>
  </w:num>
  <w:num w:numId="5">
    <w:abstractNumId w:val="37"/>
  </w:num>
  <w:num w:numId="6">
    <w:abstractNumId w:val="109"/>
  </w:num>
  <w:num w:numId="7">
    <w:abstractNumId w:val="108"/>
  </w:num>
  <w:num w:numId="8">
    <w:abstractNumId w:val="75"/>
  </w:num>
  <w:num w:numId="9">
    <w:abstractNumId w:val="91"/>
  </w:num>
  <w:num w:numId="10">
    <w:abstractNumId w:val="45"/>
  </w:num>
  <w:num w:numId="11">
    <w:abstractNumId w:val="72"/>
  </w:num>
  <w:num w:numId="12">
    <w:abstractNumId w:val="98"/>
  </w:num>
  <w:num w:numId="13">
    <w:abstractNumId w:val="1"/>
  </w:num>
  <w:num w:numId="14">
    <w:abstractNumId w:val="25"/>
  </w:num>
  <w:num w:numId="15">
    <w:abstractNumId w:val="54"/>
  </w:num>
  <w:num w:numId="16">
    <w:abstractNumId w:val="7"/>
  </w:num>
  <w:num w:numId="17">
    <w:abstractNumId w:val="8"/>
  </w:num>
  <w:num w:numId="18">
    <w:abstractNumId w:val="50"/>
  </w:num>
  <w:num w:numId="19">
    <w:abstractNumId w:val="76"/>
  </w:num>
  <w:num w:numId="20">
    <w:abstractNumId w:val="24"/>
  </w:num>
  <w:num w:numId="21">
    <w:abstractNumId w:val="52"/>
  </w:num>
  <w:num w:numId="22">
    <w:abstractNumId w:val="62"/>
  </w:num>
  <w:num w:numId="23">
    <w:abstractNumId w:val="8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7"/>
  </w:num>
  <w:num w:numId="28">
    <w:abstractNumId w:val="65"/>
  </w:num>
  <w:num w:numId="29">
    <w:abstractNumId w:val="92"/>
  </w:num>
  <w:num w:numId="30">
    <w:abstractNumId w:val="73"/>
  </w:num>
  <w:num w:numId="31">
    <w:abstractNumId w:val="104"/>
  </w:num>
  <w:num w:numId="32">
    <w:abstractNumId w:val="89"/>
  </w:num>
  <w:num w:numId="33">
    <w:abstractNumId w:val="95"/>
  </w:num>
  <w:num w:numId="34">
    <w:abstractNumId w:val="100"/>
  </w:num>
  <w:num w:numId="35">
    <w:abstractNumId w:val="36"/>
  </w:num>
  <w:num w:numId="36">
    <w:abstractNumId w:val="44"/>
  </w:num>
  <w:num w:numId="37">
    <w:abstractNumId w:val="42"/>
  </w:num>
  <w:num w:numId="38">
    <w:abstractNumId w:val="49"/>
  </w:num>
  <w:num w:numId="39">
    <w:abstractNumId w:val="60"/>
  </w:num>
  <w:num w:numId="40">
    <w:abstractNumId w:val="103"/>
  </w:num>
  <w:num w:numId="41">
    <w:abstractNumId w:val="2"/>
  </w:num>
  <w:num w:numId="42">
    <w:abstractNumId w:val="47"/>
  </w:num>
  <w:num w:numId="43">
    <w:abstractNumId w:val="71"/>
  </w:num>
  <w:num w:numId="44">
    <w:abstractNumId w:val="5"/>
  </w:num>
  <w:num w:numId="45">
    <w:abstractNumId w:val="31"/>
  </w:num>
  <w:num w:numId="46">
    <w:abstractNumId w:val="81"/>
  </w:num>
  <w:num w:numId="47">
    <w:abstractNumId w:val="90"/>
  </w:num>
  <w:num w:numId="48">
    <w:abstractNumId w:val="46"/>
  </w:num>
  <w:num w:numId="49">
    <w:abstractNumId w:val="63"/>
  </w:num>
  <w:num w:numId="50">
    <w:abstractNumId w:val="99"/>
  </w:num>
  <w:num w:numId="51">
    <w:abstractNumId w:val="30"/>
  </w:num>
  <w:num w:numId="52">
    <w:abstractNumId w:val="18"/>
  </w:num>
  <w:num w:numId="53">
    <w:abstractNumId w:val="9"/>
  </w:num>
  <w:num w:numId="54">
    <w:abstractNumId w:val="33"/>
  </w:num>
  <w:num w:numId="55">
    <w:abstractNumId w:val="23"/>
  </w:num>
  <w:num w:numId="56">
    <w:abstractNumId w:val="34"/>
  </w:num>
  <w:num w:numId="57">
    <w:abstractNumId w:val="15"/>
  </w:num>
  <w:num w:numId="58">
    <w:abstractNumId w:val="69"/>
  </w:num>
  <w:num w:numId="59">
    <w:abstractNumId w:val="48"/>
  </w:num>
  <w:num w:numId="60">
    <w:abstractNumId w:val="38"/>
  </w:num>
  <w:num w:numId="61">
    <w:abstractNumId w:val="79"/>
  </w:num>
  <w:num w:numId="62">
    <w:abstractNumId w:val="86"/>
  </w:num>
  <w:num w:numId="63">
    <w:abstractNumId w:val="58"/>
  </w:num>
  <w:num w:numId="64">
    <w:abstractNumId w:val="6"/>
  </w:num>
  <w:num w:numId="65">
    <w:abstractNumId w:val="29"/>
  </w:num>
  <w:num w:numId="66">
    <w:abstractNumId w:val="35"/>
  </w:num>
  <w:num w:numId="67">
    <w:abstractNumId w:val="14"/>
  </w:num>
  <w:num w:numId="68">
    <w:abstractNumId w:val="68"/>
  </w:num>
  <w:num w:numId="69">
    <w:abstractNumId w:val="16"/>
  </w:num>
  <w:num w:numId="70">
    <w:abstractNumId w:val="101"/>
  </w:num>
  <w:num w:numId="71">
    <w:abstractNumId w:val="53"/>
  </w:num>
  <w:num w:numId="72">
    <w:abstractNumId w:val="27"/>
  </w:num>
  <w:num w:numId="73">
    <w:abstractNumId w:val="96"/>
  </w:num>
  <w:num w:numId="74">
    <w:abstractNumId w:val="13"/>
  </w:num>
  <w:num w:numId="75">
    <w:abstractNumId w:val="106"/>
  </w:num>
  <w:num w:numId="76">
    <w:abstractNumId w:val="19"/>
  </w:num>
  <w:num w:numId="77">
    <w:abstractNumId w:val="105"/>
  </w:num>
  <w:num w:numId="78">
    <w:abstractNumId w:val="39"/>
  </w:num>
  <w:num w:numId="79">
    <w:abstractNumId w:val="110"/>
  </w:num>
  <w:num w:numId="80">
    <w:abstractNumId w:val="40"/>
  </w:num>
  <w:num w:numId="81">
    <w:abstractNumId w:val="26"/>
  </w:num>
  <w:num w:numId="82">
    <w:abstractNumId w:val="93"/>
  </w:num>
  <w:num w:numId="83">
    <w:abstractNumId w:val="56"/>
  </w:num>
  <w:num w:numId="84">
    <w:abstractNumId w:val="10"/>
  </w:num>
  <w:num w:numId="85">
    <w:abstractNumId w:val="28"/>
  </w:num>
  <w:num w:numId="86">
    <w:abstractNumId w:val="21"/>
  </w:num>
  <w:num w:numId="87">
    <w:abstractNumId w:val="74"/>
  </w:num>
  <w:num w:numId="88">
    <w:abstractNumId w:val="55"/>
  </w:num>
  <w:num w:numId="89">
    <w:abstractNumId w:val="32"/>
  </w:num>
  <w:num w:numId="90">
    <w:abstractNumId w:val="3"/>
  </w:num>
  <w:num w:numId="91">
    <w:abstractNumId w:val="102"/>
  </w:num>
  <w:num w:numId="92">
    <w:abstractNumId w:val="12"/>
  </w:num>
  <w:num w:numId="93">
    <w:abstractNumId w:val="43"/>
  </w:num>
  <w:num w:numId="94">
    <w:abstractNumId w:val="82"/>
  </w:num>
  <w:num w:numId="95">
    <w:abstractNumId w:val="78"/>
  </w:num>
  <w:num w:numId="96">
    <w:abstractNumId w:val="41"/>
  </w:num>
  <w:num w:numId="97">
    <w:abstractNumId w:val="61"/>
  </w:num>
  <w:num w:numId="98">
    <w:abstractNumId w:val="4"/>
  </w:num>
  <w:num w:numId="99">
    <w:abstractNumId w:val="64"/>
  </w:num>
  <w:num w:numId="100">
    <w:abstractNumId w:val="94"/>
  </w:num>
  <w:num w:numId="101">
    <w:abstractNumId w:val="83"/>
  </w:num>
  <w:num w:numId="102">
    <w:abstractNumId w:val="11"/>
  </w:num>
  <w:num w:numId="103">
    <w:abstractNumId w:val="59"/>
  </w:num>
  <w:num w:numId="104">
    <w:abstractNumId w:val="107"/>
  </w:num>
  <w:num w:numId="105">
    <w:abstractNumId w:val="57"/>
  </w:num>
  <w:num w:numId="106">
    <w:abstractNumId w:val="87"/>
  </w:num>
  <w:num w:numId="107">
    <w:abstractNumId w:val="77"/>
  </w:num>
  <w:num w:numId="108">
    <w:abstractNumId w:val="88"/>
  </w:num>
  <w:num w:numId="10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0"/>
  </w:num>
  <w:num w:numId="1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6"/>
  </w:num>
  <w:num w:numId="12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6EC5"/>
    <w:rsid w:val="00097054"/>
    <w:rsid w:val="000970B7"/>
    <w:rsid w:val="00097124"/>
    <w:rsid w:val="00097AE7"/>
    <w:rsid w:val="000A1906"/>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87C2C"/>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EE5"/>
    <w:rsid w:val="00466405"/>
    <w:rsid w:val="00466A54"/>
    <w:rsid w:val="0046756F"/>
    <w:rsid w:val="00467728"/>
    <w:rsid w:val="0046791B"/>
    <w:rsid w:val="00467D01"/>
    <w:rsid w:val="00471968"/>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B8"/>
    <w:rsid w:val="005752E0"/>
    <w:rsid w:val="00575791"/>
    <w:rsid w:val="00576253"/>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7ED"/>
    <w:rsid w:val="005B5A86"/>
    <w:rsid w:val="005B5C10"/>
    <w:rsid w:val="005B63EF"/>
    <w:rsid w:val="005B658C"/>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3C3C"/>
    <w:rsid w:val="005F429B"/>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62F"/>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DC"/>
    <w:rsid w:val="00676C50"/>
    <w:rsid w:val="00676D26"/>
    <w:rsid w:val="00676E31"/>
    <w:rsid w:val="00676F77"/>
    <w:rsid w:val="006770B3"/>
    <w:rsid w:val="0067737B"/>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6EC9"/>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1BD"/>
    <w:rsid w:val="006B480D"/>
    <w:rsid w:val="006B5CAE"/>
    <w:rsid w:val="006B5F3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4EE"/>
    <w:rsid w:val="0077163E"/>
    <w:rsid w:val="00771817"/>
    <w:rsid w:val="00771D73"/>
    <w:rsid w:val="00772344"/>
    <w:rsid w:val="007725CE"/>
    <w:rsid w:val="00772F95"/>
    <w:rsid w:val="007738BC"/>
    <w:rsid w:val="00773E5D"/>
    <w:rsid w:val="0077462E"/>
    <w:rsid w:val="00775636"/>
    <w:rsid w:val="00775CFE"/>
    <w:rsid w:val="007763FE"/>
    <w:rsid w:val="007765C4"/>
    <w:rsid w:val="00776697"/>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1D37"/>
    <w:rsid w:val="00862116"/>
    <w:rsid w:val="008624EB"/>
    <w:rsid w:val="00864433"/>
    <w:rsid w:val="008646BC"/>
    <w:rsid w:val="00864DCA"/>
    <w:rsid w:val="00865414"/>
    <w:rsid w:val="00865602"/>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4D3F"/>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0B4"/>
    <w:rsid w:val="009718D5"/>
    <w:rsid w:val="009719B7"/>
    <w:rsid w:val="00971D19"/>
    <w:rsid w:val="009722F8"/>
    <w:rsid w:val="00972737"/>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69EC"/>
    <w:rsid w:val="009974B4"/>
    <w:rsid w:val="00997944"/>
    <w:rsid w:val="00997DF4"/>
    <w:rsid w:val="009A0658"/>
    <w:rsid w:val="009A1F8B"/>
    <w:rsid w:val="009A2054"/>
    <w:rsid w:val="009A27FA"/>
    <w:rsid w:val="009A3B71"/>
    <w:rsid w:val="009A4156"/>
    <w:rsid w:val="009A420D"/>
    <w:rsid w:val="009A4965"/>
    <w:rsid w:val="009A5181"/>
    <w:rsid w:val="009A640F"/>
    <w:rsid w:val="009A70F7"/>
    <w:rsid w:val="009A711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066B"/>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9C0"/>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C0"/>
    <w:rsid w:val="00B525F3"/>
    <w:rsid w:val="00B52BB0"/>
    <w:rsid w:val="00B52C8A"/>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C37"/>
    <w:rsid w:val="00C2412C"/>
    <w:rsid w:val="00C256BE"/>
    <w:rsid w:val="00C2599E"/>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2E96"/>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726D"/>
    <w:rsid w:val="00DB7A4A"/>
    <w:rsid w:val="00DC033E"/>
    <w:rsid w:val="00DC149F"/>
    <w:rsid w:val="00DC221E"/>
    <w:rsid w:val="00DC2368"/>
    <w:rsid w:val="00DC296E"/>
    <w:rsid w:val="00DC2D9F"/>
    <w:rsid w:val="00DC32AA"/>
    <w:rsid w:val="00DC337F"/>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7D3"/>
    <w:rsid w:val="00E44A18"/>
    <w:rsid w:val="00E45383"/>
    <w:rsid w:val="00E455E2"/>
    <w:rsid w:val="00E459F5"/>
    <w:rsid w:val="00E45F35"/>
    <w:rsid w:val="00E46BBE"/>
    <w:rsid w:val="00E4734A"/>
    <w:rsid w:val="00E47923"/>
    <w:rsid w:val="00E47BCB"/>
    <w:rsid w:val="00E50545"/>
    <w:rsid w:val="00E5084E"/>
    <w:rsid w:val="00E50BC9"/>
    <w:rsid w:val="00E5103B"/>
    <w:rsid w:val="00E51A8F"/>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7279"/>
    <w:rsid w:val="00E8739A"/>
    <w:rsid w:val="00E900CE"/>
    <w:rsid w:val="00E90488"/>
    <w:rsid w:val="00E907BE"/>
    <w:rsid w:val="00E911B7"/>
    <w:rsid w:val="00E91EAE"/>
    <w:rsid w:val="00E92482"/>
    <w:rsid w:val="00E92A2D"/>
    <w:rsid w:val="00E9383A"/>
    <w:rsid w:val="00E93C7D"/>
    <w:rsid w:val="00E94353"/>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ABC"/>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0B0D"/>
    <w:rsid w:val="00F310A0"/>
    <w:rsid w:val="00F316B4"/>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D7E98"/>
    <w:rsid w:val="00FE024C"/>
    <w:rsid w:val="00FE07E4"/>
    <w:rsid w:val="00FE0EAA"/>
    <w:rsid w:val="00FE156B"/>
    <w:rsid w:val="00FE228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mailto:vo.sep@minv.sk"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3B9F3F-42B9-4855-A1DE-045D2750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70547</Words>
  <Characters>402124</Characters>
  <Application>Microsoft Office Word</Application>
  <DocSecurity>0</DocSecurity>
  <Lines>3351</Lines>
  <Paragraphs>943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471728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2017-07-17T11:50:00Z</dcterms:created>
  <dcterms:modified xsi:type="dcterms:W3CDTF">2017-07-17T11:51:00Z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